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4FA2" w:rsidRDefault="00964FA2" w:rsidP="00964FA2">
      <w:pPr>
        <w:contextualSpacing/>
        <w:jc w:val="center"/>
        <w:rPr>
          <w:rFonts w:ascii="Verdana" w:hAnsi="Verdana" w:cs="Calibri"/>
          <w:b/>
          <w:bCs/>
          <w:sz w:val="22"/>
          <w:szCs w:val="22"/>
        </w:rPr>
      </w:pPr>
      <w:r w:rsidRPr="003063DA">
        <w:rPr>
          <w:rFonts w:ascii="Verdana" w:hAnsi="Verdana" w:cs="Calibri"/>
          <w:b/>
          <w:bCs/>
          <w:sz w:val="22"/>
          <w:szCs w:val="22"/>
        </w:rPr>
        <w:t>LEI N°</w:t>
      </w:r>
      <w:r>
        <w:rPr>
          <w:rFonts w:ascii="Verdana" w:hAnsi="Verdana" w:cs="Calibri"/>
          <w:b/>
          <w:bCs/>
          <w:sz w:val="22"/>
          <w:szCs w:val="22"/>
        </w:rPr>
        <w:t>. 1.012</w:t>
      </w:r>
      <w:r w:rsidRPr="003063DA">
        <w:rPr>
          <w:rFonts w:ascii="Verdana" w:hAnsi="Verdana" w:cs="Calibri"/>
          <w:b/>
          <w:bCs/>
          <w:sz w:val="22"/>
          <w:szCs w:val="22"/>
        </w:rPr>
        <w:t xml:space="preserve">, DE </w:t>
      </w:r>
      <w:r>
        <w:rPr>
          <w:rFonts w:ascii="Verdana" w:hAnsi="Verdana" w:cs="Calibri"/>
          <w:b/>
          <w:bCs/>
          <w:sz w:val="22"/>
          <w:szCs w:val="22"/>
        </w:rPr>
        <w:t xml:space="preserve">04 </w:t>
      </w:r>
      <w:r w:rsidRPr="003063DA">
        <w:rPr>
          <w:rFonts w:ascii="Verdana" w:hAnsi="Verdana" w:cs="Calibri"/>
          <w:b/>
          <w:bCs/>
          <w:sz w:val="22"/>
          <w:szCs w:val="22"/>
        </w:rPr>
        <w:t xml:space="preserve">DE </w:t>
      </w:r>
      <w:r>
        <w:rPr>
          <w:rFonts w:ascii="Verdana" w:hAnsi="Verdana" w:cs="Calibri"/>
          <w:b/>
          <w:bCs/>
          <w:sz w:val="22"/>
          <w:szCs w:val="22"/>
        </w:rPr>
        <w:t>DEZEMBRO</w:t>
      </w:r>
      <w:r w:rsidRPr="003063DA">
        <w:rPr>
          <w:rFonts w:ascii="Verdana" w:hAnsi="Verdana" w:cs="Calibri"/>
          <w:b/>
          <w:bCs/>
          <w:sz w:val="22"/>
          <w:szCs w:val="22"/>
        </w:rPr>
        <w:t xml:space="preserve"> DE 2025.</w:t>
      </w:r>
    </w:p>
    <w:p w:rsidR="00964FA2" w:rsidRDefault="00964FA2" w:rsidP="00964FA2">
      <w:pPr>
        <w:contextualSpacing/>
        <w:jc w:val="both"/>
        <w:rPr>
          <w:rFonts w:ascii="Verdana" w:hAnsi="Verdana" w:cs="Calibri"/>
          <w:b/>
          <w:bCs/>
          <w:sz w:val="22"/>
          <w:szCs w:val="22"/>
        </w:rPr>
      </w:pPr>
    </w:p>
    <w:p w:rsidR="00964FA2" w:rsidRPr="003063DA" w:rsidRDefault="00964FA2" w:rsidP="00964FA2">
      <w:pPr>
        <w:contextualSpacing/>
        <w:jc w:val="both"/>
        <w:rPr>
          <w:rFonts w:ascii="Verdana" w:hAnsi="Verdana" w:cs="Calibri"/>
          <w:b/>
          <w:bCs/>
          <w:sz w:val="22"/>
          <w:szCs w:val="22"/>
        </w:rPr>
      </w:pPr>
    </w:p>
    <w:p w:rsidR="00964FA2" w:rsidRDefault="00964FA2" w:rsidP="00964FA2">
      <w:pPr>
        <w:spacing w:line="360" w:lineRule="auto"/>
        <w:ind w:left="3686"/>
        <w:contextualSpacing/>
        <w:jc w:val="both"/>
        <w:rPr>
          <w:rFonts w:ascii="Verdana" w:hAnsi="Verdana" w:cs="Calibri"/>
          <w:i/>
          <w:sz w:val="22"/>
          <w:szCs w:val="22"/>
        </w:rPr>
      </w:pPr>
      <w:r>
        <w:rPr>
          <w:rFonts w:ascii="Verdana" w:hAnsi="Verdana" w:cs="Calibri"/>
          <w:i/>
          <w:sz w:val="22"/>
          <w:szCs w:val="22"/>
        </w:rPr>
        <w:t>DISPÕE SOBRE O PLANO PLURIANUAL PARA O QUADRIÊNIO 2026 A 2029.</w:t>
      </w:r>
    </w:p>
    <w:p w:rsidR="00964FA2" w:rsidRDefault="00964FA2" w:rsidP="00964FA2">
      <w:pPr>
        <w:ind w:left="3402"/>
        <w:contextualSpacing/>
        <w:jc w:val="both"/>
        <w:rPr>
          <w:rFonts w:ascii="Verdana" w:hAnsi="Verdana" w:cs="Calibri"/>
          <w:i/>
          <w:sz w:val="22"/>
          <w:szCs w:val="22"/>
        </w:rPr>
      </w:pPr>
    </w:p>
    <w:p w:rsidR="00964FA2" w:rsidRDefault="00964FA2" w:rsidP="00964FA2">
      <w:pPr>
        <w:ind w:left="3402"/>
        <w:contextualSpacing/>
        <w:jc w:val="both"/>
        <w:rPr>
          <w:rFonts w:ascii="Verdana" w:hAnsi="Verdana" w:cs="Calibri"/>
          <w:i/>
          <w:sz w:val="22"/>
          <w:szCs w:val="22"/>
        </w:rPr>
      </w:pPr>
    </w:p>
    <w:p w:rsidR="00964FA2" w:rsidRPr="001430BA" w:rsidRDefault="00964FA2" w:rsidP="00964FA2">
      <w:pPr>
        <w:contextualSpacing/>
        <w:jc w:val="both"/>
        <w:rPr>
          <w:rFonts w:ascii="Verdana" w:hAnsi="Verdana" w:cs="Calibri"/>
          <w:sz w:val="22"/>
          <w:szCs w:val="22"/>
        </w:rPr>
      </w:pPr>
    </w:p>
    <w:p w:rsidR="00964FA2" w:rsidRPr="001430BA" w:rsidRDefault="00964FA2" w:rsidP="00964FA2">
      <w:pPr>
        <w:keepNext/>
        <w:jc w:val="both"/>
        <w:outlineLvl w:val="7"/>
        <w:rPr>
          <w:rFonts w:ascii="Verdana" w:hAnsi="Verdana" w:cs="Arial"/>
          <w:b/>
          <w:sz w:val="22"/>
          <w:szCs w:val="22"/>
        </w:rPr>
      </w:pPr>
      <w:r w:rsidRPr="001430BA">
        <w:rPr>
          <w:rFonts w:ascii="Verdana" w:hAnsi="Verdana" w:cs="Arial"/>
          <w:b/>
          <w:sz w:val="22"/>
          <w:szCs w:val="22"/>
        </w:rPr>
        <w:t>O POVO DO MUNICÍPIO DE CÓRREGO FUNDO, ESTADO DE MINAS GERAIS, POR SEUS REPRESENTANTES NA CÂMARA MUNICIPAL APROVOU E EU, DANILO OLIVEIRA CAMPOS, PREFEITO, SANCIONO A SEGUINTE LEI:</w:t>
      </w:r>
    </w:p>
    <w:p w:rsidR="00964FA2" w:rsidRPr="001430BA" w:rsidRDefault="00964FA2" w:rsidP="00964FA2">
      <w:pPr>
        <w:contextualSpacing/>
        <w:jc w:val="both"/>
        <w:rPr>
          <w:rFonts w:ascii="Verdana" w:hAnsi="Verdana" w:cs="Calibri"/>
          <w:sz w:val="22"/>
          <w:szCs w:val="22"/>
        </w:rPr>
      </w:pPr>
    </w:p>
    <w:p w:rsidR="00964FA2" w:rsidRPr="001430BA" w:rsidRDefault="00964FA2" w:rsidP="00964FA2">
      <w:pPr>
        <w:contextualSpacing/>
        <w:jc w:val="both"/>
        <w:rPr>
          <w:rFonts w:ascii="Verdana" w:hAnsi="Verdana" w:cs="Calibri"/>
          <w:sz w:val="22"/>
          <w:szCs w:val="22"/>
        </w:rPr>
      </w:pPr>
    </w:p>
    <w:p w:rsidR="00964FA2" w:rsidRPr="001430BA" w:rsidRDefault="00964FA2" w:rsidP="00964FA2">
      <w:pPr>
        <w:contextualSpacing/>
        <w:jc w:val="both"/>
        <w:rPr>
          <w:rFonts w:ascii="Verdana" w:hAnsi="Verdana" w:cs="Calibri"/>
          <w:sz w:val="22"/>
          <w:szCs w:val="22"/>
        </w:rPr>
      </w:pPr>
    </w:p>
    <w:p w:rsidR="00964FA2" w:rsidRDefault="00964FA2" w:rsidP="00964FA2">
      <w:pPr>
        <w:contextualSpacing/>
        <w:jc w:val="both"/>
        <w:rPr>
          <w:rFonts w:ascii="Verdana" w:hAnsi="Verdana" w:cs="Calibri"/>
          <w:sz w:val="22"/>
          <w:szCs w:val="22"/>
        </w:rPr>
      </w:pPr>
      <w:r w:rsidRPr="003063DA">
        <w:rPr>
          <w:rFonts w:ascii="Verdana" w:hAnsi="Verdana" w:cs="Calibri"/>
          <w:b/>
          <w:sz w:val="22"/>
          <w:szCs w:val="22"/>
        </w:rPr>
        <w:t>Art. 1°.</w:t>
      </w:r>
      <w:r w:rsidRPr="003063DA">
        <w:rPr>
          <w:rFonts w:ascii="Verdana" w:hAnsi="Verdana" w:cs="Calibri"/>
          <w:sz w:val="22"/>
          <w:szCs w:val="22"/>
        </w:rPr>
        <w:t xml:space="preserve"> Esta Lei institui o Plano Plurianual para o quadriênio de 2026 a 2029, em cumprimento ao disposto no art. 165, § 1°, da Constituição Federal, estabelecendo, para o período, os programas com seus respectivos objetivos e metas, de forma a orientar a Lei de Diretrizes Orçamentárias – LDO e a Lei Orçamentária Anual – LOA, demonstrando a estimativa do montante de recursos a serem aplicados em despesas de capital e outras delas decorrentes e nas despesas de caráter continuado, demonstradas em seus anexos. </w:t>
      </w:r>
    </w:p>
    <w:p w:rsidR="00964FA2" w:rsidRPr="003063DA" w:rsidRDefault="00964FA2" w:rsidP="00964FA2">
      <w:pPr>
        <w:contextualSpacing/>
        <w:jc w:val="both"/>
        <w:rPr>
          <w:rFonts w:ascii="Verdana" w:hAnsi="Verdana" w:cs="Calibri"/>
          <w:sz w:val="22"/>
          <w:szCs w:val="22"/>
        </w:rPr>
      </w:pPr>
    </w:p>
    <w:p w:rsidR="00964FA2" w:rsidRPr="003063DA" w:rsidRDefault="00964FA2" w:rsidP="00964FA2">
      <w:pPr>
        <w:contextualSpacing/>
        <w:jc w:val="both"/>
        <w:rPr>
          <w:rFonts w:ascii="Verdana" w:hAnsi="Verdana" w:cs="Calibri"/>
          <w:sz w:val="22"/>
          <w:szCs w:val="22"/>
        </w:rPr>
      </w:pPr>
      <w:r w:rsidRPr="003063DA">
        <w:rPr>
          <w:rFonts w:ascii="Verdana" w:hAnsi="Verdana" w:cs="Calibri"/>
          <w:b/>
          <w:sz w:val="22"/>
          <w:szCs w:val="22"/>
        </w:rPr>
        <w:t>Parágrafo único.</w:t>
      </w:r>
      <w:r w:rsidRPr="003063DA">
        <w:rPr>
          <w:rFonts w:ascii="Verdana" w:hAnsi="Verdana" w:cs="Calibri"/>
          <w:sz w:val="22"/>
          <w:szCs w:val="22"/>
        </w:rPr>
        <w:t xml:space="preserve"> </w:t>
      </w:r>
      <w:r w:rsidRPr="003063DA">
        <w:rPr>
          <w:rStyle w:val="fontstyle01"/>
          <w:rFonts w:ascii="Verdana" w:eastAsiaTheme="majorEastAsia" w:hAnsi="Verdana" w:cs="Calibri"/>
          <w:sz w:val="22"/>
          <w:szCs w:val="22"/>
        </w:rPr>
        <w:t>Os valores financeiros estabelecidos nesta lei, em seus programas, e respectivas ações, são referenciais, não constituindo limites à programação das despesas que serão expressas nas leis orçamentárias anuais e em seus nos créditos adicionais.</w:t>
      </w:r>
    </w:p>
    <w:p w:rsidR="00964FA2" w:rsidRPr="003063DA" w:rsidRDefault="00964FA2" w:rsidP="00964FA2">
      <w:pPr>
        <w:contextualSpacing/>
        <w:jc w:val="both"/>
        <w:rPr>
          <w:rFonts w:ascii="Verdana" w:hAnsi="Verdana" w:cs="Calibri"/>
          <w:b/>
          <w:sz w:val="22"/>
          <w:szCs w:val="22"/>
        </w:rPr>
      </w:pPr>
    </w:p>
    <w:p w:rsidR="00964FA2" w:rsidRDefault="00964FA2" w:rsidP="00964FA2">
      <w:pPr>
        <w:contextualSpacing/>
        <w:jc w:val="both"/>
        <w:rPr>
          <w:rFonts w:ascii="Verdana" w:hAnsi="Verdana" w:cs="Calibri"/>
          <w:sz w:val="22"/>
          <w:szCs w:val="22"/>
        </w:rPr>
      </w:pPr>
      <w:r w:rsidRPr="003063DA">
        <w:rPr>
          <w:rFonts w:ascii="Verdana" w:hAnsi="Verdana" w:cs="Calibri"/>
          <w:b/>
          <w:sz w:val="22"/>
          <w:szCs w:val="22"/>
        </w:rPr>
        <w:t>Art. 2°.</w:t>
      </w:r>
      <w:r w:rsidRPr="003063DA">
        <w:rPr>
          <w:rFonts w:ascii="Verdana" w:hAnsi="Verdana" w:cs="Calibri"/>
          <w:sz w:val="22"/>
          <w:szCs w:val="22"/>
        </w:rPr>
        <w:t xml:space="preserve"> Para fins do disposto nesta lei, considera-se:</w:t>
      </w:r>
    </w:p>
    <w:p w:rsidR="00964FA2" w:rsidRPr="003063DA" w:rsidRDefault="00964FA2" w:rsidP="00964FA2">
      <w:pPr>
        <w:contextualSpacing/>
        <w:jc w:val="both"/>
        <w:rPr>
          <w:rFonts w:ascii="Verdana" w:hAnsi="Verdana" w:cs="Calibri"/>
          <w:sz w:val="22"/>
          <w:szCs w:val="22"/>
        </w:rPr>
      </w:pPr>
    </w:p>
    <w:p w:rsidR="00964FA2" w:rsidRPr="003063DA" w:rsidRDefault="00964FA2" w:rsidP="00964FA2">
      <w:pPr>
        <w:contextualSpacing/>
        <w:jc w:val="both"/>
        <w:rPr>
          <w:rFonts w:ascii="Verdana" w:hAnsi="Verdana" w:cs="Calibri"/>
          <w:sz w:val="22"/>
          <w:szCs w:val="22"/>
        </w:rPr>
      </w:pPr>
      <w:r w:rsidRPr="003063DA">
        <w:rPr>
          <w:rFonts w:ascii="Verdana" w:hAnsi="Verdana" w:cs="Calibri"/>
          <w:b/>
          <w:sz w:val="22"/>
          <w:szCs w:val="22"/>
        </w:rPr>
        <w:t>I -</w:t>
      </w:r>
      <w:r w:rsidRPr="003063DA">
        <w:rPr>
          <w:rFonts w:ascii="Verdana" w:hAnsi="Verdana" w:cs="Calibri"/>
          <w:sz w:val="22"/>
          <w:szCs w:val="22"/>
        </w:rPr>
        <w:t xml:space="preserve"> Plano Plurianual – PPA: instrumento de planejamento governamental de médio prazo, que define as diretrizes, objetivos e metas, que tem como proposta a viabilização e implementação de programas.</w:t>
      </w:r>
    </w:p>
    <w:p w:rsidR="00964FA2" w:rsidRPr="003063DA" w:rsidRDefault="00964FA2" w:rsidP="00964FA2">
      <w:pPr>
        <w:contextualSpacing/>
        <w:jc w:val="both"/>
        <w:rPr>
          <w:rFonts w:ascii="Verdana" w:hAnsi="Verdana" w:cs="Calibri"/>
          <w:sz w:val="22"/>
          <w:szCs w:val="22"/>
        </w:rPr>
      </w:pPr>
      <w:r w:rsidRPr="003063DA">
        <w:rPr>
          <w:rFonts w:ascii="Verdana" w:hAnsi="Verdana" w:cs="Calibri"/>
          <w:b/>
          <w:sz w:val="22"/>
          <w:szCs w:val="22"/>
        </w:rPr>
        <w:t>II -</w:t>
      </w:r>
      <w:r w:rsidRPr="003063DA">
        <w:rPr>
          <w:rFonts w:ascii="Verdana" w:hAnsi="Verdana" w:cs="Calibri"/>
          <w:sz w:val="22"/>
          <w:szCs w:val="22"/>
        </w:rPr>
        <w:t xml:space="preserve"> Programa: um instrumento de organização da atuação governamental, através de políticas públicas, financiadas ou não pelo orçamento, que articula um conjunto de ações, que concorrem para um objetivo comum, previamente estabelecido, que busca a solução de problemas ou necessidades demandados pela sociedade.</w:t>
      </w:r>
    </w:p>
    <w:p w:rsidR="00964FA2" w:rsidRDefault="00964FA2" w:rsidP="00964FA2">
      <w:pPr>
        <w:contextualSpacing/>
        <w:jc w:val="both"/>
        <w:rPr>
          <w:rFonts w:ascii="Verdana" w:hAnsi="Verdana" w:cs="Calibri"/>
          <w:sz w:val="22"/>
          <w:szCs w:val="22"/>
        </w:rPr>
      </w:pPr>
      <w:r w:rsidRPr="003063DA">
        <w:rPr>
          <w:rFonts w:ascii="Verdana" w:hAnsi="Verdana" w:cs="Calibri"/>
          <w:b/>
          <w:sz w:val="22"/>
          <w:szCs w:val="22"/>
        </w:rPr>
        <w:t>III -</w:t>
      </w:r>
      <w:r w:rsidRPr="003063DA">
        <w:rPr>
          <w:rFonts w:ascii="Verdana" w:hAnsi="Verdana" w:cs="Calibri"/>
          <w:sz w:val="22"/>
          <w:szCs w:val="22"/>
        </w:rPr>
        <w:t xml:space="preserve"> Os programas se dividem em:</w:t>
      </w:r>
    </w:p>
    <w:p w:rsidR="00964FA2" w:rsidRPr="003063DA" w:rsidRDefault="00964FA2" w:rsidP="00964FA2">
      <w:pPr>
        <w:contextualSpacing/>
        <w:jc w:val="both"/>
        <w:rPr>
          <w:rFonts w:ascii="Verdana" w:hAnsi="Verdana" w:cs="Calibri"/>
          <w:sz w:val="22"/>
          <w:szCs w:val="22"/>
        </w:rPr>
      </w:pPr>
    </w:p>
    <w:p w:rsidR="00964FA2" w:rsidRPr="003063DA" w:rsidRDefault="00964FA2" w:rsidP="00964FA2">
      <w:pPr>
        <w:contextualSpacing/>
        <w:jc w:val="both"/>
        <w:rPr>
          <w:rFonts w:ascii="Verdana" w:hAnsi="Verdana" w:cs="Calibri"/>
          <w:sz w:val="22"/>
          <w:szCs w:val="22"/>
        </w:rPr>
      </w:pPr>
      <w:r w:rsidRPr="003063DA">
        <w:rPr>
          <w:rFonts w:ascii="Verdana" w:hAnsi="Verdana" w:cs="Calibri"/>
          <w:b/>
          <w:sz w:val="22"/>
          <w:szCs w:val="22"/>
        </w:rPr>
        <w:t xml:space="preserve">a - </w:t>
      </w:r>
      <w:r w:rsidRPr="003063DA">
        <w:rPr>
          <w:rFonts w:ascii="Verdana" w:hAnsi="Verdana" w:cs="Calibri"/>
          <w:sz w:val="22"/>
          <w:szCs w:val="22"/>
        </w:rPr>
        <w:t>Programa finalístico: aquele que resulta em bens ou serviços ofertados diretamente à sociedade;</w:t>
      </w:r>
    </w:p>
    <w:p w:rsidR="00964FA2" w:rsidRPr="003063DA" w:rsidRDefault="00964FA2" w:rsidP="00964FA2">
      <w:pPr>
        <w:contextualSpacing/>
        <w:jc w:val="both"/>
        <w:rPr>
          <w:rFonts w:ascii="Verdana" w:hAnsi="Verdana" w:cs="Calibri"/>
          <w:sz w:val="22"/>
          <w:szCs w:val="22"/>
        </w:rPr>
      </w:pPr>
      <w:r w:rsidRPr="003063DA">
        <w:rPr>
          <w:rFonts w:ascii="Verdana" w:hAnsi="Verdana" w:cs="Calibri"/>
          <w:b/>
          <w:sz w:val="22"/>
          <w:szCs w:val="22"/>
        </w:rPr>
        <w:t>b -</w:t>
      </w:r>
      <w:r w:rsidRPr="003063DA">
        <w:rPr>
          <w:rFonts w:ascii="Verdana" w:hAnsi="Verdana" w:cs="Calibri"/>
          <w:sz w:val="22"/>
          <w:szCs w:val="22"/>
        </w:rPr>
        <w:t xml:space="preserve"> Programa de apoio administrativo: aqueles que englobam ações de natureza tipicamente administrativa, que colaboram para o alcance dos objetivos dos programas finalísticos, no entanto, suas despesas são de difícil apropriação nos programas correspondentes; e</w:t>
      </w:r>
    </w:p>
    <w:p w:rsidR="00964FA2" w:rsidRDefault="00964FA2" w:rsidP="00964FA2">
      <w:pPr>
        <w:contextualSpacing/>
        <w:jc w:val="both"/>
        <w:rPr>
          <w:rFonts w:ascii="Verdana" w:hAnsi="Verdana" w:cs="Calibri"/>
          <w:sz w:val="22"/>
          <w:szCs w:val="22"/>
        </w:rPr>
      </w:pPr>
      <w:r w:rsidRPr="003063DA">
        <w:rPr>
          <w:rFonts w:ascii="Verdana" w:hAnsi="Verdana" w:cs="Calibri"/>
          <w:b/>
          <w:sz w:val="22"/>
          <w:szCs w:val="22"/>
        </w:rPr>
        <w:t>c -</w:t>
      </w:r>
      <w:r w:rsidRPr="003063DA">
        <w:rPr>
          <w:rFonts w:ascii="Verdana" w:hAnsi="Verdana" w:cs="Calibri"/>
          <w:sz w:val="22"/>
          <w:szCs w:val="22"/>
        </w:rPr>
        <w:t xml:space="preserve"> Encargos especiais: aquele que não resulta em bens ou serviços ofertados diretamente à população.</w:t>
      </w:r>
    </w:p>
    <w:p w:rsidR="00964FA2" w:rsidRDefault="00964FA2" w:rsidP="00964FA2">
      <w:pPr>
        <w:contextualSpacing/>
        <w:jc w:val="both"/>
        <w:rPr>
          <w:rFonts w:ascii="Verdana" w:hAnsi="Verdana" w:cs="Calibri"/>
          <w:sz w:val="22"/>
          <w:szCs w:val="22"/>
        </w:rPr>
      </w:pPr>
    </w:p>
    <w:p w:rsidR="00964FA2" w:rsidRDefault="00964FA2" w:rsidP="00964FA2">
      <w:pPr>
        <w:contextualSpacing/>
        <w:jc w:val="both"/>
        <w:rPr>
          <w:rFonts w:ascii="Verdana" w:hAnsi="Verdana" w:cs="Calibri"/>
          <w:sz w:val="22"/>
          <w:szCs w:val="22"/>
        </w:rPr>
      </w:pPr>
      <w:r w:rsidRPr="003063DA">
        <w:rPr>
          <w:rFonts w:ascii="Verdana" w:hAnsi="Verdana" w:cs="Calibri"/>
          <w:b/>
          <w:sz w:val="22"/>
          <w:szCs w:val="22"/>
        </w:rPr>
        <w:lastRenderedPageBreak/>
        <w:t>IV -</w:t>
      </w:r>
      <w:r w:rsidRPr="003063DA">
        <w:rPr>
          <w:rFonts w:ascii="Verdana" w:hAnsi="Verdana" w:cs="Calibri"/>
          <w:sz w:val="22"/>
          <w:szCs w:val="22"/>
        </w:rPr>
        <w:t xml:space="preserve"> Nos programas são apresentados:</w:t>
      </w:r>
    </w:p>
    <w:p w:rsidR="00964FA2" w:rsidRPr="003063DA" w:rsidRDefault="00964FA2" w:rsidP="00964FA2">
      <w:pPr>
        <w:contextualSpacing/>
        <w:jc w:val="both"/>
        <w:rPr>
          <w:rFonts w:ascii="Verdana" w:hAnsi="Verdana" w:cs="Calibri"/>
          <w:sz w:val="22"/>
          <w:szCs w:val="22"/>
        </w:rPr>
      </w:pPr>
    </w:p>
    <w:p w:rsidR="00964FA2" w:rsidRPr="003063DA" w:rsidRDefault="00964FA2" w:rsidP="00964FA2">
      <w:pPr>
        <w:contextualSpacing/>
        <w:jc w:val="both"/>
        <w:rPr>
          <w:rStyle w:val="fontstyle01"/>
          <w:rFonts w:ascii="Verdana" w:eastAsiaTheme="majorEastAsia" w:hAnsi="Verdana" w:cs="Calibri"/>
          <w:sz w:val="22"/>
          <w:szCs w:val="22"/>
        </w:rPr>
      </w:pPr>
      <w:r w:rsidRPr="003063DA">
        <w:rPr>
          <w:rFonts w:ascii="Verdana" w:hAnsi="Verdana" w:cs="Calibri"/>
          <w:b/>
          <w:sz w:val="22"/>
          <w:szCs w:val="22"/>
        </w:rPr>
        <w:t>a –</w:t>
      </w:r>
      <w:r w:rsidRPr="003063DA">
        <w:rPr>
          <w:rFonts w:ascii="Verdana" w:hAnsi="Verdana" w:cs="Calibri"/>
          <w:sz w:val="22"/>
          <w:szCs w:val="22"/>
        </w:rPr>
        <w:t xml:space="preserve"> Objetivo Geral: apresentação dos </w:t>
      </w:r>
      <w:r w:rsidRPr="003063DA">
        <w:rPr>
          <w:rStyle w:val="fontstyle01"/>
          <w:rFonts w:ascii="Verdana" w:eastAsiaTheme="majorEastAsia" w:hAnsi="Verdana" w:cs="Calibri"/>
          <w:sz w:val="22"/>
          <w:szCs w:val="22"/>
        </w:rPr>
        <w:t>resultados que se pretende alcançar, expressando em seu conteúdo, as ações que viabilizem o seu atingimento, viabilizando a transformação de determinada realidade.</w:t>
      </w:r>
    </w:p>
    <w:p w:rsidR="00964FA2" w:rsidRPr="003063DA" w:rsidRDefault="00964FA2" w:rsidP="00964FA2">
      <w:pPr>
        <w:contextualSpacing/>
        <w:jc w:val="both"/>
        <w:rPr>
          <w:rStyle w:val="fontstyle01"/>
          <w:rFonts w:ascii="Verdana" w:eastAsiaTheme="majorEastAsia" w:hAnsi="Verdana" w:cs="Calibri"/>
          <w:sz w:val="22"/>
          <w:szCs w:val="22"/>
        </w:rPr>
      </w:pPr>
      <w:r w:rsidRPr="003063DA">
        <w:rPr>
          <w:rStyle w:val="fontstyle01"/>
          <w:rFonts w:ascii="Verdana" w:eastAsiaTheme="majorEastAsia" w:hAnsi="Verdana" w:cs="Calibri"/>
          <w:b/>
          <w:sz w:val="22"/>
          <w:szCs w:val="22"/>
        </w:rPr>
        <w:t>b–</w:t>
      </w:r>
      <w:r w:rsidRPr="003063DA">
        <w:rPr>
          <w:rStyle w:val="fontstyle01"/>
          <w:rFonts w:ascii="Verdana" w:eastAsiaTheme="majorEastAsia" w:hAnsi="Verdana" w:cs="Calibri"/>
          <w:sz w:val="22"/>
          <w:szCs w:val="22"/>
        </w:rPr>
        <w:t xml:space="preserve">Objetivo Estratégico: demonstração das ações gerenciais comportamentais que irão nortear e contribuir para alcançar o resultado que se busca com o programa, conforme definido em seu objetivo geral. </w:t>
      </w:r>
    </w:p>
    <w:p w:rsidR="00964FA2" w:rsidRPr="003063DA" w:rsidRDefault="00964FA2" w:rsidP="00964FA2">
      <w:pPr>
        <w:contextualSpacing/>
        <w:jc w:val="both"/>
        <w:rPr>
          <w:rStyle w:val="fontstyle01"/>
          <w:rFonts w:ascii="Verdana" w:eastAsiaTheme="majorEastAsia" w:hAnsi="Verdana" w:cs="Calibri"/>
          <w:sz w:val="22"/>
          <w:szCs w:val="22"/>
        </w:rPr>
      </w:pPr>
      <w:r w:rsidRPr="003063DA">
        <w:rPr>
          <w:rStyle w:val="fontstyle01"/>
          <w:rFonts w:ascii="Verdana" w:eastAsiaTheme="majorEastAsia" w:hAnsi="Verdana" w:cs="Calibri"/>
          <w:b/>
          <w:sz w:val="22"/>
          <w:szCs w:val="22"/>
        </w:rPr>
        <w:t>c -</w:t>
      </w:r>
      <w:r w:rsidRPr="003063DA">
        <w:rPr>
          <w:rStyle w:val="fontstyle01"/>
          <w:rFonts w:ascii="Verdana" w:eastAsiaTheme="majorEastAsia" w:hAnsi="Verdana" w:cs="Calibri"/>
          <w:sz w:val="22"/>
          <w:szCs w:val="22"/>
        </w:rPr>
        <w:t xml:space="preserve"> diretrizes: atitudes que deverão ser associadas ao comportamento gerencial, constante do objetivo estratégico, concebidas para possibilitar a sua utilização como referência que permita a avaliação dos resultados desejados com o programa.</w:t>
      </w:r>
    </w:p>
    <w:p w:rsidR="00964FA2" w:rsidRPr="003063DA" w:rsidRDefault="00964FA2" w:rsidP="00964FA2">
      <w:pPr>
        <w:contextualSpacing/>
        <w:jc w:val="both"/>
        <w:rPr>
          <w:rStyle w:val="fontstyle01"/>
          <w:rFonts w:ascii="Verdana" w:eastAsiaTheme="majorEastAsia" w:hAnsi="Verdana" w:cs="Calibri"/>
          <w:sz w:val="22"/>
          <w:szCs w:val="22"/>
        </w:rPr>
      </w:pPr>
      <w:r w:rsidRPr="003063DA">
        <w:rPr>
          <w:rStyle w:val="fontstyle01"/>
          <w:rFonts w:ascii="Verdana" w:eastAsiaTheme="majorEastAsia" w:hAnsi="Verdana" w:cs="Calibri"/>
          <w:b/>
          <w:sz w:val="22"/>
          <w:szCs w:val="22"/>
        </w:rPr>
        <w:t>V</w:t>
      </w:r>
      <w:r w:rsidRPr="003063DA">
        <w:rPr>
          <w:rStyle w:val="fontstyle01"/>
          <w:rFonts w:ascii="Verdana" w:eastAsiaTheme="majorEastAsia" w:hAnsi="Verdana" w:cs="Calibri"/>
          <w:sz w:val="22"/>
          <w:szCs w:val="22"/>
        </w:rPr>
        <w:t xml:space="preserve"> </w:t>
      </w:r>
      <w:r w:rsidRPr="003063DA">
        <w:rPr>
          <w:rStyle w:val="fontstyle01"/>
          <w:rFonts w:ascii="Verdana" w:eastAsiaTheme="majorEastAsia" w:hAnsi="Verdana" w:cs="Calibri"/>
          <w:b/>
          <w:sz w:val="22"/>
          <w:szCs w:val="22"/>
        </w:rPr>
        <w:t>-</w:t>
      </w:r>
      <w:r w:rsidRPr="003063DA">
        <w:rPr>
          <w:rStyle w:val="fontstyle01"/>
          <w:rFonts w:ascii="Verdana" w:eastAsiaTheme="majorEastAsia" w:hAnsi="Verdana" w:cs="Calibri"/>
          <w:sz w:val="22"/>
          <w:szCs w:val="22"/>
        </w:rPr>
        <w:t xml:space="preserve"> Política pública: conjunto de iniciativas governamentais organizadas para atendimento das   necessidades socioeconômicas, com instrumentos </w:t>
      </w:r>
      <w:proofErr w:type="gramStart"/>
      <w:r w:rsidRPr="003063DA">
        <w:rPr>
          <w:rStyle w:val="fontstyle01"/>
          <w:rFonts w:ascii="Verdana" w:eastAsiaTheme="majorEastAsia" w:hAnsi="Verdana" w:cs="Calibri"/>
          <w:sz w:val="22"/>
          <w:szCs w:val="22"/>
        </w:rPr>
        <w:t>capazes  de</w:t>
      </w:r>
      <w:proofErr w:type="gramEnd"/>
      <w:r w:rsidRPr="003063DA">
        <w:rPr>
          <w:rStyle w:val="fontstyle01"/>
          <w:rFonts w:ascii="Verdana" w:eastAsiaTheme="majorEastAsia" w:hAnsi="Verdana" w:cs="Calibri"/>
          <w:sz w:val="22"/>
          <w:szCs w:val="22"/>
        </w:rPr>
        <w:t xml:space="preserve">  efetivação, pautado </w:t>
      </w:r>
      <w:proofErr w:type="gramStart"/>
      <w:r w:rsidRPr="003063DA">
        <w:rPr>
          <w:rStyle w:val="fontstyle01"/>
          <w:rFonts w:ascii="Verdana" w:eastAsiaTheme="majorEastAsia" w:hAnsi="Verdana" w:cs="Calibri"/>
          <w:sz w:val="22"/>
          <w:szCs w:val="22"/>
        </w:rPr>
        <w:t>em  finalidades</w:t>
      </w:r>
      <w:proofErr w:type="gramEnd"/>
      <w:r w:rsidRPr="003063DA">
        <w:rPr>
          <w:rStyle w:val="fontstyle01"/>
          <w:rFonts w:ascii="Verdana" w:eastAsiaTheme="majorEastAsia" w:hAnsi="Verdana" w:cs="Calibri"/>
          <w:sz w:val="22"/>
          <w:szCs w:val="22"/>
        </w:rPr>
        <w:t xml:space="preserve">  e fontes de financiamento; </w:t>
      </w:r>
    </w:p>
    <w:p w:rsidR="00964FA2" w:rsidRPr="003063DA" w:rsidRDefault="00964FA2" w:rsidP="00964FA2">
      <w:pPr>
        <w:contextualSpacing/>
        <w:jc w:val="both"/>
        <w:rPr>
          <w:rStyle w:val="fontstyle01"/>
          <w:rFonts w:ascii="Verdana" w:eastAsiaTheme="majorEastAsia" w:hAnsi="Verdana" w:cs="Calibri"/>
          <w:sz w:val="22"/>
          <w:szCs w:val="22"/>
        </w:rPr>
      </w:pPr>
      <w:r w:rsidRPr="003063DA">
        <w:rPr>
          <w:rStyle w:val="fontstyle01"/>
          <w:rFonts w:ascii="Verdana" w:eastAsiaTheme="majorEastAsia" w:hAnsi="Verdana" w:cs="Calibri"/>
          <w:b/>
          <w:sz w:val="22"/>
          <w:szCs w:val="22"/>
        </w:rPr>
        <w:t>VI -</w:t>
      </w:r>
      <w:r w:rsidRPr="003063DA">
        <w:rPr>
          <w:rStyle w:val="fontstyle01"/>
          <w:rFonts w:ascii="Verdana" w:eastAsiaTheme="majorEastAsia" w:hAnsi="Verdana" w:cs="Calibri"/>
          <w:sz w:val="22"/>
          <w:szCs w:val="22"/>
        </w:rPr>
        <w:t xml:space="preserve"> Planejamento governamental: escolha e construção de políticas públicas, com definição de prioridades, a partir do diagnóstico de realidades, com proposta para combate das desigualdades, através da destinação dos recursos, visando o aprimoramento do ambiente econômico e social;</w:t>
      </w:r>
    </w:p>
    <w:p w:rsidR="00964FA2" w:rsidRPr="003063DA" w:rsidRDefault="00964FA2" w:rsidP="00964FA2">
      <w:pPr>
        <w:contextualSpacing/>
        <w:jc w:val="both"/>
        <w:rPr>
          <w:rStyle w:val="fontstyle01"/>
          <w:rFonts w:ascii="Verdana" w:eastAsiaTheme="majorEastAsia" w:hAnsi="Verdana" w:cs="Calibri"/>
          <w:sz w:val="22"/>
          <w:szCs w:val="22"/>
        </w:rPr>
      </w:pPr>
      <w:r w:rsidRPr="003063DA">
        <w:rPr>
          <w:rStyle w:val="fontstyle01"/>
          <w:rFonts w:ascii="Verdana" w:eastAsiaTheme="majorEastAsia" w:hAnsi="Verdana" w:cs="Calibri"/>
          <w:b/>
          <w:sz w:val="22"/>
          <w:szCs w:val="22"/>
        </w:rPr>
        <w:t xml:space="preserve">VII </w:t>
      </w:r>
      <w:r w:rsidRPr="003063DA">
        <w:rPr>
          <w:rFonts w:ascii="Verdana" w:hAnsi="Verdana" w:cs="Calibri"/>
          <w:b/>
          <w:color w:val="000000"/>
          <w:sz w:val="22"/>
          <w:szCs w:val="22"/>
        </w:rPr>
        <w:t>-</w:t>
      </w:r>
      <w:r w:rsidRPr="003063DA">
        <w:rPr>
          <w:rFonts w:ascii="Verdana" w:hAnsi="Verdana" w:cs="Calibri"/>
          <w:color w:val="000000"/>
          <w:sz w:val="22"/>
          <w:szCs w:val="22"/>
        </w:rPr>
        <w:t xml:space="preserve"> U</w:t>
      </w:r>
      <w:r w:rsidRPr="003063DA">
        <w:rPr>
          <w:rStyle w:val="fontstyle01"/>
          <w:rFonts w:ascii="Verdana" w:eastAsiaTheme="majorEastAsia" w:hAnsi="Verdana" w:cs="Calibri"/>
          <w:sz w:val="22"/>
          <w:szCs w:val="22"/>
        </w:rPr>
        <w:t>nidade responsável: Segmento da estrutura organizacional do Município, responsável</w:t>
      </w:r>
      <w:r w:rsidRPr="003063DA">
        <w:rPr>
          <w:rFonts w:ascii="Verdana" w:hAnsi="Verdana" w:cs="Calibri"/>
          <w:color w:val="000000"/>
          <w:sz w:val="22"/>
          <w:szCs w:val="22"/>
        </w:rPr>
        <w:br/>
      </w:r>
      <w:r w:rsidRPr="003063DA">
        <w:rPr>
          <w:rStyle w:val="fontstyle01"/>
          <w:rFonts w:ascii="Verdana" w:eastAsiaTheme="majorEastAsia" w:hAnsi="Verdana" w:cs="Calibri"/>
          <w:sz w:val="22"/>
          <w:szCs w:val="22"/>
        </w:rPr>
        <w:t>pela condução e gestão de programa de ações governamentais; e</w:t>
      </w:r>
    </w:p>
    <w:p w:rsidR="00964FA2" w:rsidRPr="003063DA" w:rsidRDefault="00964FA2" w:rsidP="00964FA2">
      <w:pPr>
        <w:contextualSpacing/>
        <w:jc w:val="both"/>
        <w:rPr>
          <w:rStyle w:val="fontstyle01"/>
          <w:rFonts w:ascii="Verdana" w:eastAsiaTheme="majorEastAsia" w:hAnsi="Verdana" w:cs="Calibri"/>
          <w:sz w:val="22"/>
          <w:szCs w:val="22"/>
        </w:rPr>
      </w:pPr>
      <w:r w:rsidRPr="003063DA">
        <w:rPr>
          <w:rStyle w:val="fontstyle01"/>
          <w:rFonts w:ascii="Verdana" w:eastAsiaTheme="majorEastAsia" w:hAnsi="Verdana" w:cs="Calibri"/>
          <w:b/>
          <w:sz w:val="22"/>
          <w:szCs w:val="22"/>
        </w:rPr>
        <w:t>VIII -</w:t>
      </w:r>
      <w:r w:rsidRPr="003063DA">
        <w:rPr>
          <w:rStyle w:val="fontstyle01"/>
          <w:rFonts w:ascii="Verdana" w:eastAsiaTheme="majorEastAsia" w:hAnsi="Verdana" w:cs="Calibri"/>
          <w:sz w:val="22"/>
          <w:szCs w:val="22"/>
        </w:rPr>
        <w:t xml:space="preserve"> Governança - conjunto de ações que definem as responsabilidades e ajudam a desenhar os processos para tomada de decisão, no exercício da autoridade e governo, buscando a prestação de serviços de interesse da sociedade.</w:t>
      </w:r>
    </w:p>
    <w:p w:rsidR="00964FA2" w:rsidRPr="003063DA" w:rsidRDefault="00964FA2" w:rsidP="00964FA2">
      <w:pPr>
        <w:contextualSpacing/>
        <w:jc w:val="both"/>
        <w:rPr>
          <w:rStyle w:val="fontstyle01"/>
          <w:rFonts w:ascii="Verdana" w:eastAsiaTheme="majorEastAsia" w:hAnsi="Verdana" w:cs="Calibri"/>
          <w:sz w:val="22"/>
          <w:szCs w:val="22"/>
        </w:rPr>
      </w:pPr>
    </w:p>
    <w:p w:rsidR="00964FA2" w:rsidRDefault="00964FA2" w:rsidP="00964FA2">
      <w:pPr>
        <w:contextualSpacing/>
        <w:jc w:val="both"/>
        <w:rPr>
          <w:rFonts w:ascii="Verdana" w:hAnsi="Verdana" w:cs="Calibri"/>
          <w:sz w:val="22"/>
          <w:szCs w:val="22"/>
        </w:rPr>
      </w:pPr>
      <w:r w:rsidRPr="003063DA">
        <w:rPr>
          <w:rFonts w:ascii="Verdana" w:hAnsi="Verdana" w:cs="Calibri"/>
          <w:b/>
          <w:sz w:val="22"/>
          <w:szCs w:val="22"/>
        </w:rPr>
        <w:t xml:space="preserve">Art. </w:t>
      </w:r>
      <w:r>
        <w:rPr>
          <w:rFonts w:ascii="Verdana" w:hAnsi="Verdana" w:cs="Calibri"/>
          <w:b/>
          <w:sz w:val="22"/>
          <w:szCs w:val="22"/>
        </w:rPr>
        <w:t>3</w:t>
      </w:r>
      <w:r w:rsidRPr="003063DA">
        <w:rPr>
          <w:rFonts w:ascii="Verdana" w:hAnsi="Verdana" w:cs="Calibri"/>
          <w:b/>
          <w:sz w:val="22"/>
          <w:szCs w:val="22"/>
        </w:rPr>
        <w:t>°.</w:t>
      </w:r>
      <w:r w:rsidRPr="003063DA">
        <w:rPr>
          <w:rFonts w:ascii="Verdana" w:hAnsi="Verdana" w:cs="Calibri"/>
          <w:sz w:val="22"/>
          <w:szCs w:val="22"/>
        </w:rPr>
        <w:t xml:space="preserve"> São diretrizes do PPA 2026/ 2029:</w:t>
      </w:r>
    </w:p>
    <w:p w:rsidR="00964FA2" w:rsidRPr="003063DA" w:rsidRDefault="00964FA2" w:rsidP="00964FA2">
      <w:pPr>
        <w:contextualSpacing/>
        <w:jc w:val="both"/>
        <w:rPr>
          <w:rFonts w:ascii="Verdana" w:hAnsi="Verdana" w:cs="Calibri"/>
          <w:sz w:val="22"/>
          <w:szCs w:val="22"/>
        </w:rPr>
      </w:pPr>
    </w:p>
    <w:p w:rsidR="00964FA2" w:rsidRPr="003063DA" w:rsidRDefault="00964FA2" w:rsidP="00964FA2">
      <w:pPr>
        <w:contextualSpacing/>
        <w:jc w:val="both"/>
        <w:rPr>
          <w:rStyle w:val="fontstyle01"/>
          <w:rFonts w:ascii="Verdana" w:eastAsiaTheme="majorEastAsia" w:hAnsi="Verdana" w:cs="Calibri"/>
          <w:sz w:val="22"/>
          <w:szCs w:val="22"/>
        </w:rPr>
      </w:pPr>
      <w:r w:rsidRPr="003063DA">
        <w:rPr>
          <w:rStyle w:val="fontstyle01"/>
          <w:rFonts w:ascii="Verdana" w:eastAsiaTheme="majorEastAsia" w:hAnsi="Verdana" w:cs="Calibri"/>
          <w:b/>
          <w:sz w:val="22"/>
          <w:szCs w:val="22"/>
        </w:rPr>
        <w:t>I -</w:t>
      </w:r>
      <w:r w:rsidRPr="003063DA">
        <w:rPr>
          <w:rStyle w:val="fontstyle01"/>
          <w:rFonts w:ascii="Verdana" w:eastAsiaTheme="majorEastAsia" w:hAnsi="Verdana" w:cs="Calibri"/>
          <w:sz w:val="22"/>
          <w:szCs w:val="22"/>
        </w:rPr>
        <w:t xml:space="preserve"> </w:t>
      </w:r>
      <w:proofErr w:type="gramStart"/>
      <w:r w:rsidRPr="003063DA">
        <w:rPr>
          <w:rStyle w:val="fontstyle01"/>
          <w:rFonts w:ascii="Verdana" w:eastAsiaTheme="majorEastAsia" w:hAnsi="Verdana" w:cs="Calibri"/>
          <w:sz w:val="22"/>
          <w:szCs w:val="22"/>
        </w:rPr>
        <w:t>o</w:t>
      </w:r>
      <w:proofErr w:type="gramEnd"/>
      <w:r w:rsidRPr="003063DA">
        <w:rPr>
          <w:rStyle w:val="fontstyle01"/>
          <w:rFonts w:ascii="Verdana" w:eastAsiaTheme="majorEastAsia" w:hAnsi="Verdana" w:cs="Calibri"/>
          <w:sz w:val="22"/>
          <w:szCs w:val="22"/>
        </w:rPr>
        <w:t xml:space="preserve"> aprimoramento da governança, com a modernização da gestão pública do Município, na busca constante da eficiência, com transparência em suas ações, para alcançar produtividade na estrutura administrativa;</w:t>
      </w:r>
    </w:p>
    <w:p w:rsidR="00964FA2" w:rsidRPr="003063DA" w:rsidRDefault="00964FA2" w:rsidP="00964FA2">
      <w:pPr>
        <w:contextualSpacing/>
        <w:jc w:val="both"/>
        <w:rPr>
          <w:rStyle w:val="fontstyle01"/>
          <w:rFonts w:ascii="Verdana" w:eastAsiaTheme="majorEastAsia" w:hAnsi="Verdana" w:cs="Calibri"/>
          <w:sz w:val="22"/>
          <w:szCs w:val="22"/>
        </w:rPr>
      </w:pPr>
      <w:r w:rsidRPr="003063DA">
        <w:rPr>
          <w:rStyle w:val="fontstyle01"/>
          <w:rFonts w:ascii="Verdana" w:eastAsiaTheme="majorEastAsia" w:hAnsi="Verdana" w:cs="Calibri"/>
          <w:b/>
          <w:sz w:val="22"/>
          <w:szCs w:val="22"/>
        </w:rPr>
        <w:t>II -</w:t>
      </w:r>
      <w:r w:rsidRPr="003063DA">
        <w:rPr>
          <w:rStyle w:val="fontstyle01"/>
          <w:rFonts w:ascii="Verdana" w:eastAsiaTheme="majorEastAsia" w:hAnsi="Verdana" w:cs="Calibri"/>
          <w:sz w:val="22"/>
          <w:szCs w:val="22"/>
        </w:rPr>
        <w:t xml:space="preserve"> </w:t>
      </w:r>
      <w:proofErr w:type="gramStart"/>
      <w:r w:rsidRPr="003063DA">
        <w:rPr>
          <w:rStyle w:val="fontstyle01"/>
          <w:rFonts w:ascii="Verdana" w:eastAsiaTheme="majorEastAsia" w:hAnsi="Verdana" w:cs="Calibri"/>
          <w:sz w:val="22"/>
          <w:szCs w:val="22"/>
        </w:rPr>
        <w:t>a</w:t>
      </w:r>
      <w:proofErr w:type="gramEnd"/>
      <w:r w:rsidRPr="003063DA">
        <w:rPr>
          <w:rStyle w:val="fontstyle01"/>
          <w:rFonts w:ascii="Verdana" w:eastAsiaTheme="majorEastAsia" w:hAnsi="Verdana" w:cs="Calibri"/>
          <w:sz w:val="22"/>
          <w:szCs w:val="22"/>
        </w:rPr>
        <w:t xml:space="preserve"> busca contínua da qualidade do gasto público, por meio da adoção de indicadores e metas que possibilitem a mensuração de sua eficácia, no </w:t>
      </w:r>
      <w:proofErr w:type="gramStart"/>
      <w:r w:rsidRPr="003063DA">
        <w:rPr>
          <w:rStyle w:val="fontstyle01"/>
          <w:rFonts w:ascii="Verdana" w:eastAsiaTheme="majorEastAsia" w:hAnsi="Verdana" w:cs="Calibri"/>
          <w:sz w:val="22"/>
          <w:szCs w:val="22"/>
        </w:rPr>
        <w:t>implemento  das</w:t>
      </w:r>
      <w:proofErr w:type="gramEnd"/>
      <w:r w:rsidRPr="003063DA">
        <w:rPr>
          <w:rStyle w:val="fontstyle01"/>
          <w:rFonts w:ascii="Verdana" w:eastAsiaTheme="majorEastAsia" w:hAnsi="Verdana" w:cs="Calibri"/>
          <w:sz w:val="22"/>
          <w:szCs w:val="22"/>
        </w:rPr>
        <w:t xml:space="preserve"> políticas públicas propostas;</w:t>
      </w:r>
    </w:p>
    <w:p w:rsidR="00964FA2" w:rsidRPr="003063DA" w:rsidRDefault="00964FA2" w:rsidP="00964FA2">
      <w:pPr>
        <w:contextualSpacing/>
        <w:jc w:val="both"/>
        <w:rPr>
          <w:rStyle w:val="fontstyle01"/>
          <w:rFonts w:ascii="Verdana" w:eastAsiaTheme="majorEastAsia" w:hAnsi="Verdana" w:cs="Calibri"/>
          <w:sz w:val="22"/>
          <w:szCs w:val="22"/>
        </w:rPr>
      </w:pPr>
      <w:r w:rsidRPr="003063DA">
        <w:rPr>
          <w:rStyle w:val="fontstyle01"/>
          <w:rFonts w:ascii="Verdana" w:eastAsiaTheme="majorEastAsia" w:hAnsi="Verdana" w:cs="Calibri"/>
          <w:b/>
          <w:sz w:val="22"/>
          <w:szCs w:val="22"/>
        </w:rPr>
        <w:t>III -</w:t>
      </w:r>
      <w:r w:rsidRPr="003063DA">
        <w:rPr>
          <w:rStyle w:val="fontstyle01"/>
          <w:rFonts w:ascii="Verdana" w:eastAsiaTheme="majorEastAsia" w:hAnsi="Verdana" w:cs="Calibri"/>
          <w:sz w:val="22"/>
          <w:szCs w:val="22"/>
        </w:rPr>
        <w:t xml:space="preserve"> a articulação e coordenação dos segmentos administrativos, na execução de seus programas, com vistas à redução das desigualdades locais, inclusive com utilização de parcerias com entidades públicas e privadas, com transferência de recursos e partilha de responsabilidades;</w:t>
      </w:r>
    </w:p>
    <w:p w:rsidR="00964FA2" w:rsidRPr="003063DA" w:rsidRDefault="00964FA2" w:rsidP="00964FA2">
      <w:pPr>
        <w:contextualSpacing/>
        <w:jc w:val="both"/>
        <w:rPr>
          <w:rStyle w:val="fontstyle01"/>
          <w:rFonts w:ascii="Verdana" w:eastAsiaTheme="majorEastAsia" w:hAnsi="Verdana" w:cs="Calibri"/>
          <w:sz w:val="22"/>
          <w:szCs w:val="22"/>
        </w:rPr>
      </w:pPr>
      <w:r w:rsidRPr="003063DA">
        <w:rPr>
          <w:rStyle w:val="fontstyle01"/>
          <w:rFonts w:ascii="Verdana" w:eastAsiaTheme="majorEastAsia" w:hAnsi="Verdana" w:cs="Calibri"/>
          <w:b/>
          <w:sz w:val="22"/>
          <w:szCs w:val="22"/>
        </w:rPr>
        <w:t>IV -</w:t>
      </w:r>
      <w:r w:rsidRPr="003063DA">
        <w:rPr>
          <w:rStyle w:val="fontstyle01"/>
          <w:rFonts w:ascii="Verdana" w:eastAsiaTheme="majorEastAsia" w:hAnsi="Verdana" w:cs="Calibri"/>
          <w:sz w:val="22"/>
          <w:szCs w:val="22"/>
        </w:rPr>
        <w:t xml:space="preserve"> </w:t>
      </w:r>
      <w:proofErr w:type="gramStart"/>
      <w:r w:rsidRPr="003063DA">
        <w:rPr>
          <w:rStyle w:val="fontstyle01"/>
          <w:rFonts w:ascii="Verdana" w:eastAsiaTheme="majorEastAsia" w:hAnsi="Verdana" w:cs="Calibri"/>
          <w:sz w:val="22"/>
          <w:szCs w:val="22"/>
        </w:rPr>
        <w:t>a</w:t>
      </w:r>
      <w:proofErr w:type="gramEnd"/>
      <w:r w:rsidRPr="003063DA">
        <w:rPr>
          <w:rStyle w:val="fontstyle01"/>
          <w:rFonts w:ascii="Verdana" w:eastAsiaTheme="majorEastAsia" w:hAnsi="Verdana" w:cs="Calibri"/>
          <w:sz w:val="22"/>
          <w:szCs w:val="22"/>
        </w:rPr>
        <w:t xml:space="preserve"> garantia do equilíbrio das contas públicas, com vistas ao equilíbrio fiscal, necessário para recebimento de apoio, inclusive financeiro, de outros entes federativos;</w:t>
      </w:r>
    </w:p>
    <w:p w:rsidR="00964FA2" w:rsidRPr="003063DA" w:rsidRDefault="00964FA2" w:rsidP="00964FA2">
      <w:pPr>
        <w:contextualSpacing/>
        <w:jc w:val="both"/>
        <w:rPr>
          <w:rStyle w:val="fontstyle01"/>
          <w:rFonts w:ascii="Verdana" w:eastAsiaTheme="majorEastAsia" w:hAnsi="Verdana" w:cs="Calibri"/>
          <w:sz w:val="22"/>
          <w:szCs w:val="22"/>
        </w:rPr>
      </w:pPr>
      <w:r w:rsidRPr="003063DA">
        <w:rPr>
          <w:rStyle w:val="fontstyle01"/>
          <w:rFonts w:ascii="Verdana" w:eastAsiaTheme="majorEastAsia" w:hAnsi="Verdana" w:cs="Calibri"/>
          <w:b/>
          <w:sz w:val="22"/>
          <w:szCs w:val="22"/>
        </w:rPr>
        <w:t>V -</w:t>
      </w:r>
      <w:r w:rsidRPr="003063DA">
        <w:rPr>
          <w:rStyle w:val="fontstyle01"/>
          <w:rFonts w:ascii="Verdana" w:eastAsiaTheme="majorEastAsia" w:hAnsi="Verdana" w:cs="Calibri"/>
          <w:sz w:val="22"/>
          <w:szCs w:val="22"/>
        </w:rPr>
        <w:t xml:space="preserve"> </w:t>
      </w:r>
      <w:proofErr w:type="gramStart"/>
      <w:r w:rsidRPr="003063DA">
        <w:rPr>
          <w:rStyle w:val="fontstyle01"/>
          <w:rFonts w:ascii="Verdana" w:eastAsiaTheme="majorEastAsia" w:hAnsi="Verdana" w:cs="Calibri"/>
          <w:sz w:val="22"/>
          <w:szCs w:val="22"/>
        </w:rPr>
        <w:t>a</w:t>
      </w:r>
      <w:proofErr w:type="gramEnd"/>
      <w:r w:rsidRPr="003063DA">
        <w:rPr>
          <w:rStyle w:val="fontstyle01"/>
          <w:rFonts w:ascii="Verdana" w:eastAsiaTheme="majorEastAsia" w:hAnsi="Verdana" w:cs="Calibri"/>
          <w:sz w:val="22"/>
          <w:szCs w:val="22"/>
        </w:rPr>
        <w:t xml:space="preserve"> promoção do amparo à família, o combate à fome, à miséria e às situações de vulnerabilidades sociais;</w:t>
      </w:r>
    </w:p>
    <w:p w:rsidR="00964FA2" w:rsidRPr="003063DA" w:rsidRDefault="00964FA2" w:rsidP="00964FA2">
      <w:pPr>
        <w:contextualSpacing/>
        <w:jc w:val="both"/>
        <w:rPr>
          <w:rStyle w:val="fontstyle01"/>
          <w:rFonts w:ascii="Verdana" w:eastAsiaTheme="majorEastAsia" w:hAnsi="Verdana" w:cs="Calibri"/>
          <w:sz w:val="22"/>
          <w:szCs w:val="22"/>
        </w:rPr>
      </w:pPr>
      <w:r w:rsidRPr="003063DA">
        <w:rPr>
          <w:rStyle w:val="fontstyle01"/>
          <w:rFonts w:ascii="Verdana" w:eastAsiaTheme="majorEastAsia" w:hAnsi="Verdana" w:cs="Calibri"/>
          <w:b/>
          <w:sz w:val="22"/>
          <w:szCs w:val="22"/>
        </w:rPr>
        <w:t>VI -</w:t>
      </w:r>
      <w:r w:rsidRPr="003063DA">
        <w:rPr>
          <w:rStyle w:val="fontstyle01"/>
          <w:rFonts w:ascii="Verdana" w:eastAsiaTheme="majorEastAsia" w:hAnsi="Verdana" w:cs="Calibri"/>
          <w:sz w:val="22"/>
          <w:szCs w:val="22"/>
        </w:rPr>
        <w:t xml:space="preserve"> </w:t>
      </w:r>
      <w:proofErr w:type="gramStart"/>
      <w:r w:rsidRPr="003063DA">
        <w:rPr>
          <w:rStyle w:val="fontstyle01"/>
          <w:rFonts w:ascii="Verdana" w:eastAsiaTheme="majorEastAsia" w:hAnsi="Verdana" w:cs="Calibri"/>
          <w:sz w:val="22"/>
          <w:szCs w:val="22"/>
        </w:rPr>
        <w:t>a</w:t>
      </w:r>
      <w:proofErr w:type="gramEnd"/>
      <w:r w:rsidRPr="003063DA">
        <w:rPr>
          <w:rStyle w:val="fontstyle01"/>
          <w:rFonts w:ascii="Verdana" w:eastAsiaTheme="majorEastAsia" w:hAnsi="Verdana" w:cs="Calibri"/>
          <w:sz w:val="22"/>
          <w:szCs w:val="22"/>
        </w:rPr>
        <w:t xml:space="preserve"> atenção especial para a educação, em toda sua composição, atendendo prioritariamente a educação básica, preferencialmente a educação infantil e ensino fundamental, modalidades de sua responsabilidade; </w:t>
      </w:r>
    </w:p>
    <w:p w:rsidR="00964FA2" w:rsidRPr="003063DA" w:rsidRDefault="00964FA2" w:rsidP="00964FA2">
      <w:pPr>
        <w:contextualSpacing/>
        <w:jc w:val="both"/>
        <w:rPr>
          <w:rStyle w:val="fontstyle01"/>
          <w:rFonts w:ascii="Verdana" w:eastAsiaTheme="majorEastAsia" w:hAnsi="Verdana" w:cs="Calibri"/>
          <w:sz w:val="22"/>
          <w:szCs w:val="22"/>
        </w:rPr>
      </w:pPr>
      <w:r w:rsidRPr="003063DA">
        <w:rPr>
          <w:rStyle w:val="fontstyle01"/>
          <w:rFonts w:ascii="Verdana" w:eastAsiaTheme="majorEastAsia" w:hAnsi="Verdana" w:cs="Calibri"/>
          <w:b/>
          <w:sz w:val="22"/>
          <w:szCs w:val="22"/>
        </w:rPr>
        <w:t>VII -</w:t>
      </w:r>
      <w:r w:rsidRPr="003063DA">
        <w:rPr>
          <w:rStyle w:val="fontstyle01"/>
          <w:rFonts w:ascii="Verdana" w:eastAsiaTheme="majorEastAsia" w:hAnsi="Verdana" w:cs="Calibri"/>
          <w:sz w:val="22"/>
          <w:szCs w:val="22"/>
        </w:rPr>
        <w:t xml:space="preserve"> a ampliação da cobertura e da resolutividade da atenção primária à saúde, com prioridade na prevenção, e o fortalecimento da integração entre os serviços de saúde; </w:t>
      </w:r>
    </w:p>
    <w:p w:rsidR="00964FA2" w:rsidRPr="003063DA" w:rsidRDefault="00964FA2" w:rsidP="00964FA2">
      <w:pPr>
        <w:contextualSpacing/>
        <w:jc w:val="both"/>
        <w:rPr>
          <w:rStyle w:val="fontstyle01"/>
          <w:rFonts w:ascii="Verdana" w:eastAsiaTheme="majorEastAsia" w:hAnsi="Verdana" w:cs="Calibri"/>
          <w:sz w:val="22"/>
          <w:szCs w:val="22"/>
        </w:rPr>
      </w:pPr>
      <w:r w:rsidRPr="003063DA">
        <w:rPr>
          <w:rStyle w:val="fontstyle01"/>
          <w:rFonts w:ascii="Verdana" w:eastAsiaTheme="majorEastAsia" w:hAnsi="Verdana" w:cs="Calibri"/>
          <w:b/>
          <w:sz w:val="22"/>
          <w:szCs w:val="22"/>
        </w:rPr>
        <w:lastRenderedPageBreak/>
        <w:t>VIII -</w:t>
      </w:r>
      <w:r w:rsidRPr="003063DA">
        <w:rPr>
          <w:rStyle w:val="fontstyle01"/>
          <w:rFonts w:ascii="Verdana" w:eastAsiaTheme="majorEastAsia" w:hAnsi="Verdana" w:cs="Calibri"/>
          <w:sz w:val="22"/>
          <w:szCs w:val="22"/>
        </w:rPr>
        <w:t xml:space="preserve"> a ênfase na geração de oportunidades e de estímulos à inserção no mercado de trabalho, através de parcerias e convênios, com entidades públicas e privadas;</w:t>
      </w:r>
    </w:p>
    <w:p w:rsidR="00964FA2" w:rsidRPr="003063DA" w:rsidRDefault="00964FA2" w:rsidP="00964FA2">
      <w:pPr>
        <w:contextualSpacing/>
        <w:jc w:val="both"/>
        <w:rPr>
          <w:rStyle w:val="fontstyle01"/>
          <w:rFonts w:ascii="Verdana" w:eastAsiaTheme="majorEastAsia" w:hAnsi="Verdana" w:cs="Calibri"/>
          <w:sz w:val="22"/>
          <w:szCs w:val="22"/>
        </w:rPr>
      </w:pPr>
      <w:r w:rsidRPr="003063DA">
        <w:rPr>
          <w:rStyle w:val="fontstyle01"/>
          <w:rFonts w:ascii="Verdana" w:eastAsiaTheme="majorEastAsia" w:hAnsi="Verdana" w:cs="Calibri"/>
          <w:b/>
          <w:sz w:val="22"/>
          <w:szCs w:val="22"/>
        </w:rPr>
        <w:t>IX -</w:t>
      </w:r>
      <w:r w:rsidRPr="003063DA">
        <w:rPr>
          <w:rStyle w:val="fontstyle01"/>
          <w:rFonts w:ascii="Verdana" w:eastAsiaTheme="majorEastAsia" w:hAnsi="Verdana" w:cs="Calibri"/>
          <w:sz w:val="22"/>
          <w:szCs w:val="22"/>
        </w:rPr>
        <w:t xml:space="preserve"> </w:t>
      </w:r>
      <w:proofErr w:type="gramStart"/>
      <w:r w:rsidRPr="003063DA">
        <w:rPr>
          <w:rStyle w:val="fontstyle01"/>
          <w:rFonts w:ascii="Verdana" w:eastAsiaTheme="majorEastAsia" w:hAnsi="Verdana" w:cs="Calibri"/>
          <w:sz w:val="22"/>
          <w:szCs w:val="22"/>
        </w:rPr>
        <w:t>a</w:t>
      </w:r>
      <w:proofErr w:type="gramEnd"/>
      <w:r w:rsidRPr="003063DA">
        <w:rPr>
          <w:rStyle w:val="fontstyle01"/>
          <w:rFonts w:ascii="Verdana" w:eastAsiaTheme="majorEastAsia" w:hAnsi="Verdana" w:cs="Calibri"/>
          <w:sz w:val="22"/>
          <w:szCs w:val="22"/>
        </w:rPr>
        <w:t xml:space="preserve"> promoção de parcerias pública privada, para viabilização de investimentos privado em infraestrutura; e</w:t>
      </w:r>
    </w:p>
    <w:p w:rsidR="00964FA2" w:rsidRPr="003063DA" w:rsidRDefault="00964FA2" w:rsidP="00964FA2">
      <w:pPr>
        <w:contextualSpacing/>
        <w:jc w:val="both"/>
        <w:rPr>
          <w:rFonts w:ascii="Verdana" w:hAnsi="Verdana" w:cs="Calibri"/>
          <w:sz w:val="22"/>
          <w:szCs w:val="22"/>
        </w:rPr>
      </w:pPr>
      <w:r w:rsidRPr="003063DA">
        <w:rPr>
          <w:rStyle w:val="fontstyle01"/>
          <w:rFonts w:ascii="Verdana" w:eastAsiaTheme="majorEastAsia" w:hAnsi="Verdana" w:cs="Calibri"/>
          <w:b/>
          <w:sz w:val="22"/>
          <w:szCs w:val="22"/>
        </w:rPr>
        <w:t>X -</w:t>
      </w:r>
      <w:r w:rsidRPr="003063DA">
        <w:rPr>
          <w:rStyle w:val="fontstyle01"/>
          <w:rFonts w:ascii="Verdana" w:eastAsiaTheme="majorEastAsia" w:hAnsi="Verdana" w:cs="Calibri"/>
          <w:sz w:val="22"/>
          <w:szCs w:val="22"/>
        </w:rPr>
        <w:t xml:space="preserve"> a ampliação e a orientação do investimento público, dando ênfase para o provimento de recursos destinados para consecução e manutenção de infraestrutura.</w:t>
      </w:r>
      <w:r w:rsidRPr="003063DA">
        <w:rPr>
          <w:rFonts w:ascii="Verdana" w:hAnsi="Verdana" w:cs="Calibri"/>
          <w:sz w:val="22"/>
          <w:szCs w:val="22"/>
        </w:rPr>
        <w:t xml:space="preserve"> </w:t>
      </w:r>
    </w:p>
    <w:p w:rsidR="00964FA2" w:rsidRPr="003063DA" w:rsidRDefault="00964FA2" w:rsidP="00964FA2">
      <w:pPr>
        <w:contextualSpacing/>
        <w:jc w:val="both"/>
        <w:rPr>
          <w:rFonts w:ascii="Verdana" w:hAnsi="Verdana" w:cs="Calibri"/>
          <w:b/>
          <w:sz w:val="22"/>
          <w:szCs w:val="22"/>
        </w:rPr>
      </w:pPr>
    </w:p>
    <w:p w:rsidR="00964FA2" w:rsidRPr="003063DA" w:rsidRDefault="00964FA2" w:rsidP="00964FA2">
      <w:pPr>
        <w:contextualSpacing/>
        <w:jc w:val="both"/>
        <w:rPr>
          <w:rFonts w:ascii="Verdana" w:hAnsi="Verdana" w:cs="Calibri"/>
          <w:sz w:val="22"/>
          <w:szCs w:val="22"/>
        </w:rPr>
      </w:pPr>
      <w:r w:rsidRPr="003063DA">
        <w:rPr>
          <w:rFonts w:ascii="Verdana" w:hAnsi="Verdana" w:cs="Calibri"/>
          <w:b/>
          <w:sz w:val="22"/>
          <w:szCs w:val="22"/>
        </w:rPr>
        <w:t xml:space="preserve">Art. </w:t>
      </w:r>
      <w:r>
        <w:rPr>
          <w:rFonts w:ascii="Verdana" w:hAnsi="Verdana" w:cs="Calibri"/>
          <w:b/>
          <w:sz w:val="22"/>
          <w:szCs w:val="22"/>
        </w:rPr>
        <w:t>4</w:t>
      </w:r>
      <w:r w:rsidRPr="003063DA">
        <w:rPr>
          <w:rFonts w:ascii="Verdana" w:hAnsi="Verdana" w:cs="Calibri"/>
          <w:b/>
          <w:sz w:val="22"/>
          <w:szCs w:val="22"/>
        </w:rPr>
        <w:t>°.</w:t>
      </w:r>
      <w:r w:rsidRPr="003063DA">
        <w:rPr>
          <w:rFonts w:ascii="Verdana" w:hAnsi="Verdana" w:cs="Calibri"/>
          <w:sz w:val="22"/>
          <w:szCs w:val="22"/>
        </w:rPr>
        <w:t xml:space="preserve"> A exclusão ou alteração de programas constantes desta lei, bem como a inclusão de novos programas serão propostas pelo Poder Executivo, através de projetos de leis específicos.</w:t>
      </w:r>
    </w:p>
    <w:p w:rsidR="00964FA2" w:rsidRPr="003063DA" w:rsidRDefault="00964FA2" w:rsidP="00964FA2">
      <w:pPr>
        <w:contextualSpacing/>
        <w:jc w:val="both"/>
        <w:rPr>
          <w:rFonts w:ascii="Verdana" w:hAnsi="Verdana" w:cs="Calibri"/>
          <w:b/>
          <w:sz w:val="22"/>
          <w:szCs w:val="22"/>
        </w:rPr>
      </w:pPr>
    </w:p>
    <w:p w:rsidR="00964FA2" w:rsidRPr="003063DA" w:rsidRDefault="00964FA2" w:rsidP="00964FA2">
      <w:pPr>
        <w:contextualSpacing/>
        <w:jc w:val="both"/>
        <w:rPr>
          <w:rFonts w:ascii="Verdana" w:hAnsi="Verdana" w:cs="Calibri"/>
          <w:sz w:val="22"/>
          <w:szCs w:val="22"/>
        </w:rPr>
      </w:pPr>
      <w:r w:rsidRPr="003063DA">
        <w:rPr>
          <w:rFonts w:ascii="Verdana" w:hAnsi="Verdana" w:cs="Calibri"/>
          <w:b/>
          <w:sz w:val="22"/>
          <w:szCs w:val="22"/>
        </w:rPr>
        <w:t xml:space="preserve">Art. </w:t>
      </w:r>
      <w:r>
        <w:rPr>
          <w:rFonts w:ascii="Verdana" w:hAnsi="Verdana" w:cs="Calibri"/>
          <w:b/>
          <w:sz w:val="22"/>
          <w:szCs w:val="22"/>
        </w:rPr>
        <w:t>5</w:t>
      </w:r>
      <w:r w:rsidRPr="003063DA">
        <w:rPr>
          <w:rFonts w:ascii="Verdana" w:hAnsi="Verdana" w:cs="Calibri"/>
          <w:b/>
          <w:sz w:val="22"/>
          <w:szCs w:val="22"/>
        </w:rPr>
        <w:t>°.</w:t>
      </w:r>
      <w:r w:rsidRPr="003063DA">
        <w:rPr>
          <w:rFonts w:ascii="Verdana" w:hAnsi="Verdana" w:cs="Calibri"/>
          <w:sz w:val="22"/>
          <w:szCs w:val="22"/>
        </w:rPr>
        <w:t xml:space="preserve"> A inclusão, exclusão ou alteração de ações orçamentárias e de suas metas que envolvam recursos do orçamento municipal seguirá as diretrizes da lei orçamentária anual.</w:t>
      </w:r>
    </w:p>
    <w:p w:rsidR="00964FA2" w:rsidRPr="003063DA" w:rsidRDefault="00964FA2" w:rsidP="00964FA2">
      <w:pPr>
        <w:contextualSpacing/>
        <w:jc w:val="both"/>
        <w:rPr>
          <w:rFonts w:ascii="Verdana" w:hAnsi="Verdana" w:cs="Calibri"/>
          <w:b/>
          <w:color w:val="000000"/>
          <w:sz w:val="22"/>
          <w:szCs w:val="22"/>
        </w:rPr>
      </w:pPr>
    </w:p>
    <w:p w:rsidR="00964FA2" w:rsidRPr="003063DA" w:rsidRDefault="00964FA2" w:rsidP="00964FA2">
      <w:pPr>
        <w:contextualSpacing/>
        <w:jc w:val="both"/>
        <w:rPr>
          <w:rStyle w:val="fontstyle01"/>
          <w:rFonts w:ascii="Verdana" w:eastAsiaTheme="majorEastAsia" w:hAnsi="Verdana" w:cs="Calibri"/>
          <w:sz w:val="22"/>
          <w:szCs w:val="22"/>
        </w:rPr>
      </w:pPr>
      <w:r w:rsidRPr="003063DA">
        <w:rPr>
          <w:rFonts w:ascii="Verdana" w:hAnsi="Verdana" w:cs="Calibri"/>
          <w:b/>
          <w:color w:val="000000"/>
          <w:sz w:val="22"/>
          <w:szCs w:val="22"/>
        </w:rPr>
        <w:t xml:space="preserve">Art. </w:t>
      </w:r>
      <w:r>
        <w:rPr>
          <w:rFonts w:ascii="Verdana" w:hAnsi="Verdana" w:cs="Calibri"/>
          <w:b/>
          <w:color w:val="000000"/>
          <w:sz w:val="22"/>
          <w:szCs w:val="22"/>
        </w:rPr>
        <w:t>6</w:t>
      </w:r>
      <w:r w:rsidRPr="003063DA">
        <w:rPr>
          <w:rFonts w:ascii="Verdana" w:hAnsi="Verdana" w:cs="Calibri"/>
          <w:b/>
          <w:color w:val="000000"/>
          <w:sz w:val="22"/>
          <w:szCs w:val="22"/>
        </w:rPr>
        <w:t>°.</w:t>
      </w:r>
      <w:r w:rsidRPr="003063DA">
        <w:rPr>
          <w:rFonts w:ascii="Verdana" w:hAnsi="Verdana" w:cs="Calibri"/>
          <w:color w:val="000000"/>
          <w:sz w:val="22"/>
          <w:szCs w:val="22"/>
        </w:rPr>
        <w:t xml:space="preserve"> </w:t>
      </w:r>
      <w:proofErr w:type="gramStart"/>
      <w:r w:rsidRPr="003063DA">
        <w:rPr>
          <w:rFonts w:ascii="Verdana" w:hAnsi="Verdana" w:cs="Calibri"/>
          <w:color w:val="000000"/>
          <w:sz w:val="22"/>
          <w:szCs w:val="22"/>
        </w:rPr>
        <w:t>A  programação</w:t>
      </w:r>
      <w:proofErr w:type="gramEnd"/>
      <w:r w:rsidRPr="003063DA">
        <w:rPr>
          <w:rFonts w:ascii="Verdana" w:hAnsi="Verdana" w:cs="Calibri"/>
          <w:color w:val="000000"/>
          <w:sz w:val="22"/>
          <w:szCs w:val="22"/>
        </w:rPr>
        <w:t xml:space="preserve">  </w:t>
      </w:r>
      <w:proofErr w:type="gramStart"/>
      <w:r w:rsidRPr="003063DA">
        <w:rPr>
          <w:rFonts w:ascii="Verdana" w:hAnsi="Verdana" w:cs="Calibri"/>
          <w:color w:val="000000"/>
          <w:sz w:val="22"/>
          <w:szCs w:val="22"/>
        </w:rPr>
        <w:t>constante  no</w:t>
      </w:r>
      <w:proofErr w:type="gramEnd"/>
      <w:r w:rsidRPr="003063DA">
        <w:rPr>
          <w:rFonts w:ascii="Verdana" w:hAnsi="Verdana" w:cs="Calibri"/>
          <w:color w:val="000000"/>
          <w:sz w:val="22"/>
          <w:szCs w:val="22"/>
        </w:rPr>
        <w:t xml:space="preserve">  </w:t>
      </w:r>
      <w:proofErr w:type="gramStart"/>
      <w:r w:rsidRPr="003063DA">
        <w:rPr>
          <w:rFonts w:ascii="Verdana" w:hAnsi="Verdana" w:cs="Calibri"/>
          <w:color w:val="000000"/>
          <w:sz w:val="22"/>
          <w:szCs w:val="22"/>
        </w:rPr>
        <w:t>PPA  deverá</w:t>
      </w:r>
      <w:proofErr w:type="gramEnd"/>
      <w:r w:rsidRPr="003063DA">
        <w:rPr>
          <w:rFonts w:ascii="Verdana" w:hAnsi="Verdana" w:cs="Calibri"/>
          <w:color w:val="000000"/>
          <w:sz w:val="22"/>
          <w:szCs w:val="22"/>
        </w:rPr>
        <w:t xml:space="preserve">  </w:t>
      </w:r>
      <w:proofErr w:type="gramStart"/>
      <w:r w:rsidRPr="003063DA">
        <w:rPr>
          <w:rFonts w:ascii="Verdana" w:hAnsi="Verdana" w:cs="Calibri"/>
          <w:color w:val="000000"/>
          <w:sz w:val="22"/>
          <w:szCs w:val="22"/>
        </w:rPr>
        <w:t>ser  financiada</w:t>
      </w:r>
      <w:proofErr w:type="gramEnd"/>
      <w:r w:rsidRPr="003063DA">
        <w:rPr>
          <w:rFonts w:ascii="Verdana" w:hAnsi="Verdana" w:cs="Calibri"/>
          <w:color w:val="000000"/>
          <w:sz w:val="22"/>
          <w:szCs w:val="22"/>
        </w:rPr>
        <w:t xml:space="preserve">  </w:t>
      </w:r>
      <w:proofErr w:type="gramStart"/>
      <w:r w:rsidRPr="003063DA">
        <w:rPr>
          <w:rFonts w:ascii="Verdana" w:hAnsi="Verdana" w:cs="Calibri"/>
          <w:color w:val="000000"/>
          <w:sz w:val="22"/>
          <w:szCs w:val="22"/>
        </w:rPr>
        <w:t>pelos  recursos</w:t>
      </w:r>
      <w:proofErr w:type="gramEnd"/>
      <w:r w:rsidRPr="003063DA">
        <w:rPr>
          <w:rFonts w:ascii="Verdana" w:hAnsi="Verdana" w:cs="Calibri"/>
          <w:color w:val="000000"/>
          <w:sz w:val="22"/>
          <w:szCs w:val="22"/>
        </w:rPr>
        <w:t xml:space="preserve">  </w:t>
      </w:r>
      <w:proofErr w:type="gramStart"/>
      <w:r w:rsidRPr="003063DA">
        <w:rPr>
          <w:rFonts w:ascii="Verdana" w:hAnsi="Verdana" w:cs="Calibri"/>
          <w:color w:val="000000"/>
          <w:sz w:val="22"/>
          <w:szCs w:val="22"/>
        </w:rPr>
        <w:t>oriundos  do</w:t>
      </w:r>
      <w:proofErr w:type="gramEnd"/>
      <w:r>
        <w:rPr>
          <w:rFonts w:ascii="Verdana" w:hAnsi="Verdana" w:cs="Calibri"/>
          <w:color w:val="000000"/>
          <w:sz w:val="22"/>
          <w:szCs w:val="22"/>
        </w:rPr>
        <w:t xml:space="preserve"> </w:t>
      </w:r>
      <w:r w:rsidRPr="003063DA">
        <w:rPr>
          <w:rFonts w:ascii="Verdana" w:hAnsi="Verdana" w:cs="Calibri"/>
          <w:color w:val="000000"/>
          <w:sz w:val="22"/>
          <w:szCs w:val="22"/>
        </w:rPr>
        <w:t xml:space="preserve">tesouro municipal, das operações de créditos que venham a ser realizadas, das transferências constitucionais, legais e voluntárias da União e do Estado e, subsidiariamente, das parcerias implementadas </w:t>
      </w:r>
      <w:r w:rsidRPr="003063DA">
        <w:rPr>
          <w:rStyle w:val="fontstyle01"/>
          <w:rFonts w:ascii="Verdana" w:eastAsiaTheme="majorEastAsia" w:hAnsi="Verdana" w:cs="Calibri"/>
          <w:sz w:val="22"/>
          <w:szCs w:val="22"/>
        </w:rPr>
        <w:t>com entidades públicas de qualquer esfera de governo, bem como, e através de parcerias público privadas, nos termos da lei federal n° 11.079, de 30 de dezembro de 2004.</w:t>
      </w:r>
    </w:p>
    <w:p w:rsidR="00964FA2" w:rsidRPr="003063DA" w:rsidRDefault="00964FA2" w:rsidP="00964FA2">
      <w:pPr>
        <w:contextualSpacing/>
        <w:jc w:val="both"/>
        <w:rPr>
          <w:rStyle w:val="fontstyle01"/>
          <w:rFonts w:ascii="Verdana" w:eastAsiaTheme="majorEastAsia" w:hAnsi="Verdana" w:cs="Calibri"/>
          <w:sz w:val="22"/>
          <w:szCs w:val="22"/>
        </w:rPr>
      </w:pPr>
    </w:p>
    <w:p w:rsidR="00964FA2" w:rsidRPr="003063DA" w:rsidRDefault="00964FA2" w:rsidP="00964FA2">
      <w:pPr>
        <w:contextualSpacing/>
        <w:jc w:val="both"/>
        <w:rPr>
          <w:rFonts w:ascii="Verdana" w:hAnsi="Verdana" w:cs="Calibri Light"/>
          <w:sz w:val="22"/>
          <w:szCs w:val="22"/>
        </w:rPr>
      </w:pPr>
      <w:r w:rsidRPr="003063DA">
        <w:rPr>
          <w:rStyle w:val="fontstyle01"/>
          <w:rFonts w:ascii="Verdana" w:eastAsiaTheme="majorEastAsia" w:hAnsi="Verdana" w:cs="Calibri Light"/>
          <w:b/>
          <w:sz w:val="22"/>
          <w:szCs w:val="22"/>
        </w:rPr>
        <w:t xml:space="preserve">Art. </w:t>
      </w:r>
      <w:r>
        <w:rPr>
          <w:rStyle w:val="fontstyle01"/>
          <w:rFonts w:ascii="Verdana" w:eastAsiaTheme="majorEastAsia" w:hAnsi="Verdana" w:cs="Calibri Light"/>
          <w:b/>
          <w:sz w:val="22"/>
          <w:szCs w:val="22"/>
        </w:rPr>
        <w:t>7</w:t>
      </w:r>
      <w:r w:rsidRPr="003063DA">
        <w:rPr>
          <w:rStyle w:val="fontstyle01"/>
          <w:rFonts w:ascii="Verdana" w:eastAsiaTheme="majorEastAsia" w:hAnsi="Verdana" w:cs="Calibri Light"/>
          <w:b/>
          <w:sz w:val="22"/>
          <w:szCs w:val="22"/>
        </w:rPr>
        <w:t>°.</w:t>
      </w:r>
      <w:r w:rsidRPr="003063DA">
        <w:rPr>
          <w:rStyle w:val="fontstyle01"/>
          <w:rFonts w:ascii="Verdana" w:eastAsiaTheme="majorEastAsia" w:hAnsi="Verdana" w:cs="Calibri Light"/>
          <w:sz w:val="22"/>
          <w:szCs w:val="22"/>
        </w:rPr>
        <w:t xml:space="preserve"> </w:t>
      </w:r>
      <w:r w:rsidRPr="003063DA">
        <w:rPr>
          <w:rFonts w:ascii="Verdana" w:hAnsi="Verdana" w:cs="Calibri Light"/>
          <w:sz w:val="22"/>
          <w:szCs w:val="22"/>
        </w:rPr>
        <w:t>As leis de diretrizes orçamentárias e os orçamentos anuais devem estar compatíveis com o PPA 2026/ 2029.</w:t>
      </w:r>
    </w:p>
    <w:p w:rsidR="00964FA2" w:rsidRPr="003063DA" w:rsidRDefault="00964FA2" w:rsidP="00964FA2">
      <w:pPr>
        <w:contextualSpacing/>
        <w:jc w:val="both"/>
        <w:rPr>
          <w:rFonts w:ascii="Verdana" w:hAnsi="Verdana" w:cs="Calibri Light"/>
          <w:sz w:val="22"/>
          <w:szCs w:val="22"/>
        </w:rPr>
      </w:pPr>
    </w:p>
    <w:p w:rsidR="00964FA2" w:rsidRDefault="00964FA2" w:rsidP="00964FA2">
      <w:pPr>
        <w:autoSpaceDE w:val="0"/>
        <w:autoSpaceDN w:val="0"/>
        <w:adjustRightInd w:val="0"/>
        <w:contextualSpacing/>
        <w:jc w:val="both"/>
        <w:rPr>
          <w:rFonts w:ascii="Verdana" w:hAnsi="Verdana" w:cs="Calibri Light"/>
          <w:sz w:val="22"/>
          <w:szCs w:val="22"/>
        </w:rPr>
      </w:pPr>
      <w:r w:rsidRPr="003063DA">
        <w:rPr>
          <w:rFonts w:ascii="Verdana" w:hAnsi="Verdana" w:cs="Calibri Light"/>
          <w:b/>
          <w:color w:val="000000"/>
          <w:sz w:val="22"/>
          <w:szCs w:val="22"/>
        </w:rPr>
        <w:t xml:space="preserve">Art. </w:t>
      </w:r>
      <w:r>
        <w:rPr>
          <w:rFonts w:ascii="Verdana" w:hAnsi="Verdana" w:cs="Calibri Light"/>
          <w:b/>
          <w:color w:val="000000"/>
          <w:sz w:val="22"/>
          <w:szCs w:val="22"/>
        </w:rPr>
        <w:t>8</w:t>
      </w:r>
      <w:r w:rsidRPr="003063DA">
        <w:rPr>
          <w:rFonts w:ascii="Verdana" w:hAnsi="Verdana" w:cs="Calibri Light"/>
          <w:b/>
          <w:color w:val="000000"/>
          <w:sz w:val="22"/>
          <w:szCs w:val="22"/>
        </w:rPr>
        <w:t xml:space="preserve">°. </w:t>
      </w:r>
      <w:r w:rsidRPr="003063DA">
        <w:rPr>
          <w:rFonts w:ascii="Verdana" w:hAnsi="Verdana" w:cs="Calibri Light"/>
          <w:sz w:val="22"/>
          <w:szCs w:val="22"/>
        </w:rPr>
        <w:t>A avaliação anual do PPA 2026- 2029 serão realizadas por cada Órgão responsável pelos seus respectivos Programas, sob a coordenação da Controladoria-Geral do Município.</w:t>
      </w:r>
    </w:p>
    <w:p w:rsidR="00964FA2" w:rsidRPr="003063DA" w:rsidRDefault="00964FA2" w:rsidP="00964FA2">
      <w:pPr>
        <w:autoSpaceDE w:val="0"/>
        <w:autoSpaceDN w:val="0"/>
        <w:adjustRightInd w:val="0"/>
        <w:contextualSpacing/>
        <w:jc w:val="both"/>
        <w:rPr>
          <w:rFonts w:ascii="Verdana" w:hAnsi="Verdana" w:cs="Calibri Light"/>
          <w:sz w:val="22"/>
          <w:szCs w:val="22"/>
        </w:rPr>
      </w:pPr>
    </w:p>
    <w:p w:rsidR="00964FA2" w:rsidRPr="003063DA" w:rsidRDefault="00964FA2" w:rsidP="00964FA2">
      <w:pPr>
        <w:autoSpaceDE w:val="0"/>
        <w:autoSpaceDN w:val="0"/>
        <w:adjustRightInd w:val="0"/>
        <w:contextualSpacing/>
        <w:jc w:val="both"/>
        <w:rPr>
          <w:rFonts w:ascii="Verdana" w:hAnsi="Verdana" w:cs="Calibri Light"/>
          <w:sz w:val="22"/>
          <w:szCs w:val="22"/>
        </w:rPr>
      </w:pPr>
      <w:r w:rsidRPr="003063DA">
        <w:rPr>
          <w:rFonts w:ascii="Verdana" w:hAnsi="Verdana" w:cs="Calibri Light"/>
          <w:b/>
          <w:sz w:val="22"/>
          <w:szCs w:val="22"/>
        </w:rPr>
        <w:t>§ 1°.</w:t>
      </w:r>
      <w:r w:rsidRPr="003063DA">
        <w:rPr>
          <w:rFonts w:ascii="Verdana" w:hAnsi="Verdana" w:cs="Calibri Light"/>
          <w:sz w:val="22"/>
          <w:szCs w:val="22"/>
        </w:rPr>
        <w:t xml:space="preserve"> A avaliação dar-se-á com o comparativo dos valores de despesas fixadas e as efetivamente realizadas nas respectivas leis orçamentárias, de forma a evidenciar as ações com execução total ou parcial, e as não executadas.</w:t>
      </w:r>
    </w:p>
    <w:p w:rsidR="00964FA2" w:rsidRPr="003063DA" w:rsidRDefault="00964FA2" w:rsidP="00964FA2">
      <w:pPr>
        <w:autoSpaceDE w:val="0"/>
        <w:autoSpaceDN w:val="0"/>
        <w:adjustRightInd w:val="0"/>
        <w:contextualSpacing/>
        <w:jc w:val="both"/>
        <w:rPr>
          <w:rFonts w:ascii="Verdana" w:hAnsi="Verdana" w:cs="Calibri Light"/>
          <w:sz w:val="22"/>
          <w:szCs w:val="22"/>
        </w:rPr>
      </w:pPr>
      <w:r w:rsidRPr="003063DA">
        <w:rPr>
          <w:rFonts w:ascii="Verdana" w:hAnsi="Verdana" w:cs="Calibri Light"/>
          <w:b/>
          <w:sz w:val="22"/>
          <w:szCs w:val="22"/>
        </w:rPr>
        <w:t xml:space="preserve">§ </w:t>
      </w:r>
      <w:r>
        <w:rPr>
          <w:rFonts w:ascii="Verdana" w:hAnsi="Verdana" w:cs="Calibri Light"/>
          <w:b/>
          <w:sz w:val="22"/>
          <w:szCs w:val="22"/>
        </w:rPr>
        <w:t>2</w:t>
      </w:r>
      <w:r w:rsidRPr="003063DA">
        <w:rPr>
          <w:rFonts w:ascii="Verdana" w:hAnsi="Verdana" w:cs="Calibri Light"/>
          <w:b/>
          <w:sz w:val="22"/>
          <w:szCs w:val="22"/>
        </w:rPr>
        <w:t>°.</w:t>
      </w:r>
      <w:r w:rsidRPr="003063DA">
        <w:rPr>
          <w:rFonts w:ascii="Verdana" w:hAnsi="Verdana" w:cs="Calibri Light"/>
          <w:sz w:val="22"/>
          <w:szCs w:val="22"/>
        </w:rPr>
        <w:t xml:space="preserve"> Na apuração do que estabelece o § 1°, serão considerados os acréscimos e supressões de dotações. </w:t>
      </w:r>
    </w:p>
    <w:p w:rsidR="00964FA2" w:rsidRPr="003063DA" w:rsidRDefault="00964FA2" w:rsidP="00964FA2">
      <w:pPr>
        <w:autoSpaceDE w:val="0"/>
        <w:autoSpaceDN w:val="0"/>
        <w:adjustRightInd w:val="0"/>
        <w:ind w:firstLine="709"/>
        <w:contextualSpacing/>
        <w:jc w:val="both"/>
        <w:rPr>
          <w:rFonts w:ascii="Verdana" w:hAnsi="Verdana" w:cs="Calibri Light"/>
          <w:sz w:val="22"/>
          <w:szCs w:val="22"/>
        </w:rPr>
      </w:pPr>
    </w:p>
    <w:p w:rsidR="00964FA2" w:rsidRDefault="00964FA2" w:rsidP="00964FA2">
      <w:pPr>
        <w:autoSpaceDE w:val="0"/>
        <w:autoSpaceDN w:val="0"/>
        <w:adjustRightInd w:val="0"/>
        <w:contextualSpacing/>
        <w:jc w:val="both"/>
        <w:rPr>
          <w:rFonts w:ascii="Verdana" w:hAnsi="Verdana" w:cs="Calibri"/>
          <w:sz w:val="22"/>
          <w:szCs w:val="22"/>
        </w:rPr>
      </w:pPr>
      <w:r w:rsidRPr="003063DA">
        <w:rPr>
          <w:rStyle w:val="fontstyle01"/>
          <w:rFonts w:ascii="Verdana" w:eastAsiaTheme="majorEastAsia" w:hAnsi="Verdana" w:cs="Calibri"/>
          <w:b/>
          <w:sz w:val="22"/>
          <w:szCs w:val="22"/>
        </w:rPr>
        <w:t xml:space="preserve">Art. </w:t>
      </w:r>
      <w:r>
        <w:rPr>
          <w:rStyle w:val="fontstyle01"/>
          <w:rFonts w:ascii="Verdana" w:eastAsiaTheme="majorEastAsia" w:hAnsi="Verdana" w:cs="Calibri"/>
          <w:b/>
          <w:sz w:val="22"/>
          <w:szCs w:val="22"/>
        </w:rPr>
        <w:t>9º</w:t>
      </w:r>
      <w:r w:rsidRPr="003063DA">
        <w:rPr>
          <w:rStyle w:val="fontstyle01"/>
          <w:rFonts w:ascii="Verdana" w:eastAsiaTheme="majorEastAsia" w:hAnsi="Verdana" w:cs="Calibri"/>
          <w:b/>
          <w:sz w:val="22"/>
          <w:szCs w:val="22"/>
        </w:rPr>
        <w:t>.</w:t>
      </w:r>
      <w:r w:rsidRPr="003063DA">
        <w:rPr>
          <w:rFonts w:ascii="Verdana" w:hAnsi="Verdana" w:cs="Calibri"/>
          <w:sz w:val="22"/>
          <w:szCs w:val="22"/>
        </w:rPr>
        <w:t xml:space="preserve"> Entra esta lei em vigor na data de sua publicação.</w:t>
      </w:r>
    </w:p>
    <w:p w:rsidR="00964FA2" w:rsidRPr="003063DA" w:rsidRDefault="00964FA2" w:rsidP="00964FA2">
      <w:pPr>
        <w:autoSpaceDE w:val="0"/>
        <w:autoSpaceDN w:val="0"/>
        <w:adjustRightInd w:val="0"/>
        <w:contextualSpacing/>
        <w:jc w:val="both"/>
        <w:rPr>
          <w:rFonts w:ascii="Verdana" w:hAnsi="Verdana" w:cs="Calibri"/>
          <w:sz w:val="22"/>
          <w:szCs w:val="22"/>
          <w:shd w:val="clear" w:color="auto" w:fill="EEECE1"/>
        </w:rPr>
      </w:pPr>
    </w:p>
    <w:p w:rsidR="00964FA2" w:rsidRPr="003063DA" w:rsidRDefault="00964FA2" w:rsidP="00964FA2">
      <w:pPr>
        <w:ind w:firstLine="709"/>
        <w:contextualSpacing/>
        <w:jc w:val="both"/>
        <w:rPr>
          <w:rFonts w:ascii="Verdana" w:hAnsi="Verdana" w:cs="Calibri"/>
          <w:sz w:val="22"/>
          <w:szCs w:val="22"/>
        </w:rPr>
      </w:pPr>
    </w:p>
    <w:p w:rsidR="00964FA2" w:rsidRDefault="00964FA2" w:rsidP="00964FA2">
      <w:pPr>
        <w:ind w:firstLine="1418"/>
        <w:contextualSpacing/>
        <w:jc w:val="both"/>
        <w:rPr>
          <w:rFonts w:ascii="Verdana" w:hAnsi="Verdana" w:cs="Calibri"/>
          <w:sz w:val="22"/>
          <w:szCs w:val="22"/>
        </w:rPr>
      </w:pPr>
      <w:r>
        <w:rPr>
          <w:rFonts w:ascii="Verdana" w:hAnsi="Verdana" w:cs="Calibri"/>
          <w:sz w:val="22"/>
          <w:szCs w:val="22"/>
        </w:rPr>
        <w:t>Córrego Fundo/MG, 04 de dezembro de 2025.</w:t>
      </w:r>
    </w:p>
    <w:p w:rsidR="00964FA2" w:rsidRPr="003063DA" w:rsidRDefault="00964FA2" w:rsidP="00964FA2">
      <w:pPr>
        <w:ind w:firstLine="1418"/>
        <w:contextualSpacing/>
        <w:jc w:val="both"/>
        <w:rPr>
          <w:rFonts w:ascii="Verdana" w:hAnsi="Verdana" w:cs="Calibri"/>
          <w:sz w:val="22"/>
          <w:szCs w:val="22"/>
        </w:rPr>
      </w:pPr>
    </w:p>
    <w:p w:rsidR="00964FA2" w:rsidRPr="003063DA" w:rsidRDefault="00964FA2" w:rsidP="00964FA2">
      <w:pPr>
        <w:contextualSpacing/>
        <w:jc w:val="both"/>
        <w:rPr>
          <w:rFonts w:ascii="Verdana" w:hAnsi="Verdana" w:cs="Calibri"/>
          <w:sz w:val="22"/>
          <w:szCs w:val="22"/>
        </w:rPr>
      </w:pPr>
    </w:p>
    <w:p w:rsidR="00964FA2" w:rsidRPr="003063DA" w:rsidRDefault="00964FA2" w:rsidP="00964FA2">
      <w:pPr>
        <w:contextualSpacing/>
        <w:jc w:val="both"/>
        <w:rPr>
          <w:rFonts w:ascii="Verdana" w:hAnsi="Verdana" w:cs="Calibri"/>
          <w:sz w:val="22"/>
          <w:szCs w:val="22"/>
        </w:rPr>
      </w:pPr>
    </w:p>
    <w:p w:rsidR="00964FA2" w:rsidRPr="002C529D" w:rsidRDefault="00964FA2" w:rsidP="00964FA2">
      <w:pPr>
        <w:contextualSpacing/>
        <w:jc w:val="center"/>
        <w:rPr>
          <w:rFonts w:ascii="Verdana" w:hAnsi="Verdana" w:cs="Calibri"/>
          <w:b/>
          <w:bCs/>
          <w:sz w:val="22"/>
          <w:szCs w:val="22"/>
        </w:rPr>
      </w:pPr>
      <w:r w:rsidRPr="002C529D">
        <w:rPr>
          <w:rFonts w:ascii="Verdana" w:hAnsi="Verdana" w:cs="Calibri"/>
          <w:b/>
          <w:bCs/>
          <w:sz w:val="22"/>
          <w:szCs w:val="22"/>
        </w:rPr>
        <w:t>DANILO OLIVEIRA CAMPOS</w:t>
      </w:r>
    </w:p>
    <w:p w:rsidR="00964FA2" w:rsidRPr="003063DA" w:rsidRDefault="00964FA2" w:rsidP="00964FA2">
      <w:pPr>
        <w:contextualSpacing/>
        <w:jc w:val="center"/>
        <w:rPr>
          <w:rFonts w:ascii="Verdana" w:hAnsi="Verdana"/>
          <w:sz w:val="22"/>
          <w:szCs w:val="22"/>
        </w:rPr>
      </w:pPr>
      <w:r>
        <w:rPr>
          <w:rFonts w:ascii="Verdana" w:hAnsi="Verdana" w:cs="Calibri"/>
          <w:sz w:val="22"/>
          <w:szCs w:val="22"/>
        </w:rPr>
        <w:t>Prefeito</w:t>
      </w:r>
    </w:p>
    <w:p w:rsidR="00964FA2" w:rsidRDefault="00964FA2"/>
    <w:sectPr w:rsidR="00964FA2" w:rsidSect="00964FA2">
      <w:headerReference w:type="default" r:id="rId4"/>
      <w:footerReference w:type="default" r:id="rId5"/>
      <w:pgSz w:w="11906" w:h="16838"/>
      <w:pgMar w:top="1417" w:right="1701" w:bottom="1417" w:left="1701"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rsidP="003C264D">
    <w:pPr>
      <w:pStyle w:val="Rodap"/>
      <w:ind w:right="-1"/>
      <w:jc w:val="center"/>
      <w:rPr>
        <w:sz w:val="10"/>
        <w:szCs w:val="10"/>
      </w:rPr>
    </w:pPr>
    <w:r>
      <w:rPr>
        <w:sz w:val="10"/>
        <w:szCs w:val="10"/>
      </w:rPr>
      <w:t>__________________________________________________________________________________________________________________________________________________________________</w:t>
    </w:r>
  </w:p>
  <w:p w:rsidR="00000000" w:rsidRDefault="00000000" w:rsidP="003C264D">
    <w:pPr>
      <w:pStyle w:val="Rodap"/>
      <w:ind w:right="360"/>
      <w:jc w:val="center"/>
      <w:rPr>
        <w:sz w:val="10"/>
        <w:szCs w:val="10"/>
      </w:rPr>
    </w:pPr>
  </w:p>
  <w:p w:rsidR="00000000" w:rsidRDefault="00000000" w:rsidP="003C264D">
    <w:pPr>
      <w:pStyle w:val="Rodap"/>
      <w:shd w:val="pct5" w:color="auto" w:fill="FFFFFF"/>
      <w:jc w:val="center"/>
      <w:rPr>
        <w:rFonts w:ascii="Garamond" w:hAnsi="Garamond"/>
        <w:b/>
        <w:sz w:val="22"/>
        <w:szCs w:val="22"/>
      </w:rPr>
    </w:pPr>
  </w:p>
  <w:p w:rsidR="00000000" w:rsidRDefault="00000000" w:rsidP="003C264D">
    <w:pPr>
      <w:pStyle w:val="Rodap"/>
    </w:pPr>
  </w:p>
  <w:p w:rsidR="00000000" w:rsidRDefault="00000000">
    <w:pPr>
      <w:pStyle w:val="Rodap"/>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Pr="0004523D" w:rsidRDefault="00000000" w:rsidP="003C264D">
    <w:pPr>
      <w:pStyle w:val="Cabealho"/>
      <w:jc w:val="both"/>
      <w:rPr>
        <w:b/>
        <w:color w:val="003300"/>
        <w:sz w:val="28"/>
        <w:szCs w:val="28"/>
      </w:rPr>
    </w:pPr>
    <w:sdt>
      <w:sdtPr>
        <w:rPr>
          <w:b/>
          <w:color w:val="003300"/>
          <w:sz w:val="28"/>
          <w:szCs w:val="28"/>
        </w:rPr>
        <w:id w:val="894935360"/>
        <w:docPartObj>
          <w:docPartGallery w:val="Page Numbers (Margins)"/>
          <w:docPartUnique/>
        </w:docPartObj>
      </w:sdtPr>
      <w:sdtContent>
        <w:r w:rsidRPr="00A2717F">
          <w:rPr>
            <w:b/>
            <w:noProof/>
            <w:color w:val="003300"/>
            <w:sz w:val="28"/>
            <w:szCs w:val="28"/>
          </w:rPr>
          <mc:AlternateContent>
            <mc:Choice Requires="wpg">
              <w:drawing>
                <wp:anchor distT="0" distB="0" distL="114300" distR="114300" simplePos="0" relativeHeight="251660288" behindDoc="0" locked="0" layoutInCell="0" allowOverlap="1" wp14:anchorId="33A0DF19" wp14:editId="3D9B9D92">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1314568227"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717426425"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00000">
                                <w:pPr>
                                  <w:pStyle w:val="Cabealho"/>
                                  <w:jc w:val="center"/>
                                </w:pPr>
                                <w:r>
                                  <w:rPr>
                                    <w:sz w:val="22"/>
                                    <w:szCs w:val="22"/>
                                  </w:rPr>
                                  <w:fldChar w:fldCharType="begin"/>
                                </w:r>
                                <w:r>
                                  <w:instrText>PAGE    \* MERGEFORMAT</w:instrText>
                                </w:r>
                                <w:r>
                                  <w:rPr>
                                    <w:sz w:val="22"/>
                                    <w:szCs w:val="22"/>
                                  </w:rPr>
                                  <w:fldChar w:fldCharType="separate"/>
                                </w:r>
                                <w:r>
                                  <w:rPr>
                                    <w:b/>
                                    <w:bCs/>
                                    <w:color w:val="7F5F00" w:themeColor="accent4" w:themeShade="7F"/>
                                    <w:sz w:val="16"/>
                                    <w:szCs w:val="16"/>
                                  </w:rPr>
                                  <w:t>2</w:t>
                                </w:r>
                                <w:r>
                                  <w:rPr>
                                    <w:b/>
                                    <w:bCs/>
                                    <w:color w:val="7F5F00" w:themeColor="accent4" w:themeShade="7F"/>
                                    <w:sz w:val="16"/>
                                    <w:szCs w:val="16"/>
                                  </w:rPr>
                                  <w:fldChar w:fldCharType="end"/>
                                </w:r>
                              </w:p>
                            </w:txbxContent>
                          </wps:txbx>
                          <wps:bodyPr rot="0" vert="horz" wrap="square" lIns="0" tIns="0" rIns="0" bIns="0" anchor="ctr" anchorCtr="0" upright="1">
                            <a:noAutofit/>
                          </wps:bodyPr>
                        </wps:wsp>
                        <wpg:grpSp>
                          <wpg:cNvPr id="1961159481" name="Group 72"/>
                          <wpg:cNvGrpSpPr>
                            <a:grpSpLocks/>
                          </wpg:cNvGrpSpPr>
                          <wpg:grpSpPr bwMode="auto">
                            <a:xfrm>
                              <a:off x="886" y="3255"/>
                              <a:ext cx="374" cy="374"/>
                              <a:chOff x="1453" y="14832"/>
                              <a:chExt cx="374" cy="374"/>
                            </a:xfrm>
                          </wpg:grpSpPr>
                          <wps:wsp>
                            <wps:cNvPr id="38432843"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1038139"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A0DF19" id="Agrupar 1" o:spid="_x0000_s1026" style="position:absolute;left:0;text-align:left;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" filled="f" stroked="f">
                    <v:textbox inset="0,0,0,0">
                      <w:txbxContent>
                        <w:p w:rsidR="00000000" w:rsidRDefault="00000000">
                          <w:pPr>
                            <w:pStyle w:val="Cabealho"/>
                            <w:jc w:val="center"/>
                          </w:pPr>
                          <w:r>
                            <w:rPr>
                              <w:sz w:val="22"/>
                              <w:szCs w:val="22"/>
                            </w:rPr>
                            <w:fldChar w:fldCharType="begin"/>
                          </w:r>
                          <w:r>
                            <w:instrText>PAGE    \* MERGEFORMAT</w:instrText>
                          </w:r>
                          <w:r>
                            <w:rPr>
                              <w:sz w:val="22"/>
                              <w:szCs w:val="22"/>
                            </w:rPr>
                            <w:fldChar w:fldCharType="separate"/>
                          </w:r>
                          <w:r>
                            <w:rPr>
                              <w:b/>
                              <w:bCs/>
                              <w:color w:val="7F5F00" w:themeColor="accent4" w:themeShade="7F"/>
                              <w:sz w:val="16"/>
                              <w:szCs w:val="16"/>
                            </w:rPr>
                            <w:t>2</w:t>
                          </w:r>
                          <w:r>
                            <w:rPr>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" fillcolor="#84a2c6" stroked="f"/>
                  </v:group>
                  <w10:wrap anchorx="margin" anchory="page"/>
                </v:group>
              </w:pict>
            </mc:Fallback>
          </mc:AlternateContent>
        </w:r>
      </w:sdtContent>
    </w:sdt>
    <w:r w:rsidRPr="0004523D">
      <w:rPr>
        <w:b/>
        <w:color w:val="003300"/>
        <w:sz w:val="28"/>
        <w:szCs w:val="28"/>
      </w:rPr>
      <w:t>MUNICIPIO DE CÓRREGO FUNDO</w:t>
    </w:r>
    <w:r>
      <w:rPr>
        <w:b/>
        <w:color w:val="003300"/>
        <w:sz w:val="28"/>
        <w:szCs w:val="28"/>
      </w:rPr>
      <w:t xml:space="preserve"> ESTADO DE MINAS GERAIS</w:t>
    </w:r>
  </w:p>
  <w:p w:rsidR="00000000" w:rsidRPr="0004523D" w:rsidRDefault="00000000" w:rsidP="003C264D">
    <w:pPr>
      <w:pStyle w:val="Cabealho"/>
      <w:tabs>
        <w:tab w:val="left" w:pos="570"/>
      </w:tabs>
      <w:jc w:val="center"/>
      <w:rPr>
        <w:b/>
        <w:bCs/>
        <w:color w:val="003300"/>
        <w:sz w:val="18"/>
        <w:szCs w:val="18"/>
      </w:rPr>
    </w:pPr>
    <w:r w:rsidRPr="0004523D">
      <w:rPr>
        <w:b/>
        <w:bCs/>
        <w:color w:val="003300"/>
        <w:sz w:val="18"/>
        <w:szCs w:val="18"/>
      </w:rPr>
      <w:t xml:space="preserve">RUA JOAQUIM GONÇALVES DA FONSECA, 493 </w:t>
    </w:r>
    <w:proofErr w:type="gramStart"/>
    <w:r>
      <w:rPr>
        <w:b/>
        <w:bCs/>
        <w:color w:val="003300"/>
        <w:sz w:val="18"/>
        <w:szCs w:val="18"/>
      </w:rPr>
      <w:t>–  MIZAEL</w:t>
    </w:r>
    <w:proofErr w:type="gramEnd"/>
    <w:r>
      <w:rPr>
        <w:b/>
        <w:bCs/>
        <w:color w:val="003300"/>
        <w:sz w:val="18"/>
        <w:szCs w:val="18"/>
      </w:rPr>
      <w:t xml:space="preserve"> BERNARDES</w:t>
    </w:r>
  </w:p>
  <w:p w:rsidR="00000000" w:rsidRPr="0004523D" w:rsidRDefault="00000000" w:rsidP="003C264D">
    <w:pPr>
      <w:pStyle w:val="Cabealho"/>
      <w:jc w:val="center"/>
      <w:rPr>
        <w:color w:val="003300"/>
        <w:sz w:val="18"/>
        <w:szCs w:val="18"/>
      </w:rPr>
    </w:pPr>
    <w:r w:rsidRPr="0004523D">
      <w:rPr>
        <w:b/>
        <w:bCs/>
        <w:color w:val="003300"/>
        <w:sz w:val="18"/>
        <w:szCs w:val="18"/>
      </w:rPr>
      <w:t>CEP: 35.578-000 = CÓRREGO FUNDO -MG</w:t>
    </w:r>
  </w:p>
  <w:p w:rsidR="00000000" w:rsidRDefault="00000000" w:rsidP="003C264D">
    <w:pPr>
      <w:pStyle w:val="Cabealho"/>
      <w:pBdr>
        <w:bottom w:val="single" w:sz="12" w:space="1" w:color="auto"/>
      </w:pBdr>
      <w:jc w:val="center"/>
      <w:rPr>
        <w:b/>
        <w:bCs/>
        <w:color w:val="003300"/>
        <w:sz w:val="18"/>
        <w:szCs w:val="18"/>
      </w:rPr>
    </w:pPr>
    <w:r w:rsidRPr="0004523D">
      <w:rPr>
        <w:b/>
        <w:bCs/>
        <w:color w:val="003300"/>
        <w:sz w:val="18"/>
        <w:szCs w:val="18"/>
      </w:rPr>
      <w:t>CNPJ 01.614.862/00</w:t>
    </w:r>
    <w:r>
      <w:rPr>
        <w:b/>
        <w:bCs/>
        <w:color w:val="003300"/>
        <w:sz w:val="18"/>
        <w:szCs w:val="18"/>
      </w:rPr>
      <w:t xml:space="preserve">01-77 – </w:t>
    </w:r>
    <w:proofErr w:type="gramStart"/>
    <w:r>
      <w:rPr>
        <w:b/>
        <w:bCs/>
        <w:color w:val="003300"/>
        <w:sz w:val="18"/>
        <w:szCs w:val="18"/>
      </w:rPr>
      <w:t>TELEFAX:.</w:t>
    </w:r>
    <w:proofErr w:type="gramEnd"/>
    <w:r>
      <w:rPr>
        <w:b/>
        <w:bCs/>
        <w:color w:val="003300"/>
        <w:sz w:val="18"/>
        <w:szCs w:val="18"/>
      </w:rPr>
      <w:t xml:space="preserve"> (37) 3322-9144</w:t>
    </w:r>
  </w:p>
  <w:p w:rsidR="00000000" w:rsidRDefault="00000000">
    <w:pPr>
      <w:pStyle w:val="Cabealho"/>
    </w:pPr>
    <w:r w:rsidRPr="003C264D">
      <w:rPr>
        <w:noProof/>
      </w:rPr>
      <w:drawing>
        <wp:anchor distT="0" distB="0" distL="114300" distR="114300" simplePos="0" relativeHeight="251659264" behindDoc="1" locked="0" layoutInCell="1" allowOverlap="1" wp14:anchorId="15F8BB90" wp14:editId="02404EC5">
          <wp:simplePos x="0" y="0"/>
          <wp:positionH relativeFrom="margin">
            <wp:posOffset>-579822</wp:posOffset>
          </wp:positionH>
          <wp:positionV relativeFrom="margin">
            <wp:posOffset>1506521</wp:posOffset>
          </wp:positionV>
          <wp:extent cx="6620477" cy="5606716"/>
          <wp:effectExtent l="19050" t="0" r="1905" b="0"/>
          <wp:wrapNone/>
          <wp:docPr id="3" name="Imagem 3" descr="ad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sf"/>
                  <pic:cNvPicPr>
                    <a:picLocks noChangeAspect="1" noChangeArrowheads="1"/>
                  </pic:cNvPicPr>
                </pic:nvPicPr>
                <pic:blipFill>
                  <a:blip r:embed="rId1">
                    <a:lum bright="70000" contrast="-70000"/>
                  </a:blip>
                  <a:srcRect/>
                  <a:stretch>
                    <a:fillRect/>
                  </a:stretch>
                </pic:blipFill>
                <pic:spPr bwMode="auto">
                  <a:xfrm>
                    <a:off x="0" y="0"/>
                    <a:ext cx="6627495" cy="560832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FA2"/>
    <w:rsid w:val="00964FA2"/>
    <w:rsid w:val="00DC28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BC3F0-14F9-4D1D-96D0-74BC8118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FA2"/>
    <w:pPr>
      <w:spacing w:after="0" w:line="240" w:lineRule="auto"/>
    </w:pPr>
    <w:rPr>
      <w:rFonts w:ascii="Times New Roman" w:eastAsia="Times New Roman" w:hAnsi="Times New Roman" w:cs="Times New Roman"/>
      <w:kern w:val="0"/>
      <w:sz w:val="20"/>
      <w:szCs w:val="20"/>
      <w:lang w:eastAsia="pt-BR"/>
      <w14:ligatures w14:val="none"/>
    </w:rPr>
  </w:style>
  <w:style w:type="paragraph" w:styleId="Ttulo1">
    <w:name w:val="heading 1"/>
    <w:basedOn w:val="Normal"/>
    <w:next w:val="Normal"/>
    <w:link w:val="Ttulo1Char"/>
    <w:uiPriority w:val="9"/>
    <w:qFormat/>
    <w:rsid w:val="00964FA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964FA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964FA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964FA2"/>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964FA2"/>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964FA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964FA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964FA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964FA2"/>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4FA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964FA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964FA2"/>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964FA2"/>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964FA2"/>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964FA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4FA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4FA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4FA2"/>
    <w:rPr>
      <w:rFonts w:eastAsiaTheme="majorEastAsia" w:cstheme="majorBidi"/>
      <w:color w:val="272727" w:themeColor="text1" w:themeTint="D8"/>
    </w:rPr>
  </w:style>
  <w:style w:type="paragraph" w:styleId="Ttulo">
    <w:name w:val="Title"/>
    <w:basedOn w:val="Normal"/>
    <w:next w:val="Normal"/>
    <w:link w:val="TtuloChar"/>
    <w:uiPriority w:val="10"/>
    <w:qFormat/>
    <w:rsid w:val="00964FA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964F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4FA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964FA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4FA2"/>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964FA2"/>
    <w:rPr>
      <w:i/>
      <w:iCs/>
      <w:color w:val="404040" w:themeColor="text1" w:themeTint="BF"/>
    </w:rPr>
  </w:style>
  <w:style w:type="paragraph" w:styleId="PargrafodaLista">
    <w:name w:val="List Paragraph"/>
    <w:basedOn w:val="Normal"/>
    <w:uiPriority w:val="34"/>
    <w:qFormat/>
    <w:rsid w:val="00964FA2"/>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964FA2"/>
    <w:rPr>
      <w:i/>
      <w:iCs/>
      <w:color w:val="2F5496" w:themeColor="accent1" w:themeShade="BF"/>
    </w:rPr>
  </w:style>
  <w:style w:type="paragraph" w:styleId="CitaoIntensa">
    <w:name w:val="Intense Quote"/>
    <w:basedOn w:val="Normal"/>
    <w:next w:val="Normal"/>
    <w:link w:val="CitaoIntensaChar"/>
    <w:uiPriority w:val="30"/>
    <w:qFormat/>
    <w:rsid w:val="00964FA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964FA2"/>
    <w:rPr>
      <w:i/>
      <w:iCs/>
      <w:color w:val="2F5496" w:themeColor="accent1" w:themeShade="BF"/>
    </w:rPr>
  </w:style>
  <w:style w:type="character" w:styleId="RefernciaIntensa">
    <w:name w:val="Intense Reference"/>
    <w:basedOn w:val="Fontepargpadro"/>
    <w:uiPriority w:val="32"/>
    <w:qFormat/>
    <w:rsid w:val="00964FA2"/>
    <w:rPr>
      <w:b/>
      <w:bCs/>
      <w:smallCaps/>
      <w:color w:val="2F5496" w:themeColor="accent1" w:themeShade="BF"/>
      <w:spacing w:val="5"/>
    </w:rPr>
  </w:style>
  <w:style w:type="paragraph" w:styleId="Cabealho">
    <w:name w:val="header"/>
    <w:basedOn w:val="Normal"/>
    <w:link w:val="CabealhoChar"/>
    <w:uiPriority w:val="99"/>
    <w:unhideWhenUsed/>
    <w:rsid w:val="00964FA2"/>
    <w:pPr>
      <w:tabs>
        <w:tab w:val="center" w:pos="4252"/>
        <w:tab w:val="right" w:pos="8504"/>
      </w:tabs>
    </w:pPr>
  </w:style>
  <w:style w:type="character" w:customStyle="1" w:styleId="CabealhoChar">
    <w:name w:val="Cabeçalho Char"/>
    <w:basedOn w:val="Fontepargpadro"/>
    <w:link w:val="Cabealho"/>
    <w:uiPriority w:val="99"/>
    <w:rsid w:val="00964FA2"/>
    <w:rPr>
      <w:rFonts w:ascii="Times New Roman" w:eastAsia="Times New Roman" w:hAnsi="Times New Roman" w:cs="Times New Roman"/>
      <w:kern w:val="0"/>
      <w:sz w:val="20"/>
      <w:szCs w:val="20"/>
      <w:lang w:eastAsia="pt-BR"/>
      <w14:ligatures w14:val="none"/>
    </w:rPr>
  </w:style>
  <w:style w:type="paragraph" w:styleId="Rodap">
    <w:name w:val="footer"/>
    <w:basedOn w:val="Normal"/>
    <w:link w:val="RodapChar"/>
    <w:unhideWhenUsed/>
    <w:rsid w:val="00964FA2"/>
    <w:pPr>
      <w:tabs>
        <w:tab w:val="center" w:pos="4252"/>
        <w:tab w:val="right" w:pos="8504"/>
      </w:tabs>
    </w:pPr>
  </w:style>
  <w:style w:type="character" w:customStyle="1" w:styleId="RodapChar">
    <w:name w:val="Rodapé Char"/>
    <w:basedOn w:val="Fontepargpadro"/>
    <w:link w:val="Rodap"/>
    <w:rsid w:val="00964FA2"/>
    <w:rPr>
      <w:rFonts w:ascii="Times New Roman" w:eastAsia="Times New Roman" w:hAnsi="Times New Roman" w:cs="Times New Roman"/>
      <w:kern w:val="0"/>
      <w:sz w:val="20"/>
      <w:szCs w:val="20"/>
      <w:lang w:eastAsia="pt-BR"/>
      <w14:ligatures w14:val="none"/>
    </w:rPr>
  </w:style>
  <w:style w:type="character" w:customStyle="1" w:styleId="fontstyle01">
    <w:name w:val="fontstyle01"/>
    <w:rsid w:val="00964FA2"/>
    <w:rPr>
      <w:rFonts w:ascii="Helvetica" w:hAnsi="Helvetica" w:cs="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1112</Words>
  <Characters>6006</Characters>
  <Application>Microsoft Office Word</Application>
  <DocSecurity>0</DocSecurity>
  <Lines>50</Lines>
  <Paragraphs>14</Paragraphs>
  <ScaleCrop>false</ScaleCrop>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2025-12-04T20:09:00Z</dcterms:created>
  <dcterms:modified xsi:type="dcterms:W3CDTF">2025-12-04T20:10:00Z</dcterms:modified>
</cp:coreProperties>
</file>