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241" w:rsidRPr="006B29F7" w:rsidRDefault="00E95241" w:rsidP="00E9524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6B29F7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996</w:t>
      </w:r>
      <w:r w:rsidRPr="006B29F7">
        <w:rPr>
          <w:rFonts w:ascii="Verdana" w:hAnsi="Verdana"/>
          <w:b/>
          <w:bCs/>
          <w:sz w:val="21"/>
          <w:szCs w:val="21"/>
        </w:rPr>
        <w:t xml:space="preserve"> DE 1</w:t>
      </w:r>
      <w:r>
        <w:rPr>
          <w:rFonts w:ascii="Verdana" w:hAnsi="Verdana"/>
          <w:b/>
          <w:bCs/>
          <w:sz w:val="21"/>
          <w:szCs w:val="21"/>
        </w:rPr>
        <w:t>8</w:t>
      </w:r>
      <w:r w:rsidRPr="006B29F7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>JUNHO</w:t>
      </w:r>
      <w:r w:rsidRPr="006B29F7">
        <w:rPr>
          <w:rFonts w:ascii="Verdana" w:hAnsi="Verdana"/>
          <w:b/>
          <w:bCs/>
          <w:sz w:val="21"/>
          <w:szCs w:val="21"/>
        </w:rPr>
        <w:t xml:space="preserve"> DE 2025.</w:t>
      </w:r>
    </w:p>
    <w:p w:rsidR="00E95241" w:rsidRDefault="00E95241" w:rsidP="00E9524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95241" w:rsidRPr="006B29F7" w:rsidRDefault="00E95241" w:rsidP="00E9524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95241" w:rsidRPr="006B29F7" w:rsidRDefault="00E95241" w:rsidP="00E95241">
      <w:pPr>
        <w:ind w:left="3402"/>
        <w:jc w:val="both"/>
        <w:rPr>
          <w:rFonts w:ascii="Verdana" w:hAnsi="Verdana" w:cs="Tahoma"/>
          <w:b/>
          <w:bCs/>
          <w:color w:val="000000"/>
          <w:sz w:val="21"/>
          <w:szCs w:val="21"/>
        </w:rPr>
      </w:pPr>
      <w:r w:rsidRPr="006B29F7">
        <w:rPr>
          <w:rFonts w:ascii="Verdana" w:hAnsi="Verdana" w:cs="Tahoma"/>
          <w:b/>
          <w:bCs/>
          <w:color w:val="000000"/>
          <w:sz w:val="21"/>
          <w:szCs w:val="21"/>
        </w:rPr>
        <w:t xml:space="preserve">REESTRUTURA O PROGRAMA DE INCENTIVO AO DESENVOLVIMENTO ECONÔMICO DE CÓRREGO FUNDO/MG E DÁ OUTRAS PROVIDÊNCIAS. </w:t>
      </w:r>
    </w:p>
    <w:p w:rsidR="00E95241" w:rsidRDefault="00E95241" w:rsidP="00E95241">
      <w:pPr>
        <w:tabs>
          <w:tab w:val="left" w:pos="5430"/>
        </w:tabs>
        <w:ind w:left="3440"/>
        <w:jc w:val="both"/>
        <w:rPr>
          <w:rFonts w:ascii="Verdana" w:hAnsi="Verdana"/>
          <w:sz w:val="21"/>
          <w:szCs w:val="21"/>
        </w:rPr>
      </w:pPr>
      <w:r w:rsidRPr="006B29F7">
        <w:rPr>
          <w:rFonts w:ascii="Verdana" w:hAnsi="Verdana"/>
          <w:sz w:val="21"/>
          <w:szCs w:val="21"/>
        </w:rPr>
        <w:tab/>
      </w:r>
    </w:p>
    <w:p w:rsidR="00E95241" w:rsidRPr="006B29F7" w:rsidRDefault="00E95241" w:rsidP="00E95241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1"/>
          <w:szCs w:val="21"/>
        </w:rPr>
      </w:pPr>
    </w:p>
    <w:p w:rsidR="00E95241" w:rsidRPr="006B29F7" w:rsidRDefault="00E95241" w:rsidP="00E95241">
      <w:pPr>
        <w:jc w:val="both"/>
        <w:rPr>
          <w:rFonts w:ascii="Verdana" w:hAnsi="Verdana" w:cs="Arial"/>
          <w:b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O POVO DO MUNICÍPIO DE CÓRREGO FUNDO/MG, POR SEUS REPRESENTANTES NA CÂMARA MUNICIPAL APROVOU E EU, DANILO OLIVEIRA CAMPOS, PREFEITO </w:t>
      </w:r>
      <w:r w:rsidRPr="006B29F7">
        <w:rPr>
          <w:rFonts w:ascii="Verdana" w:hAnsi="Verdana" w:cs="Arial"/>
          <w:b/>
          <w:caps/>
          <w:sz w:val="21"/>
          <w:szCs w:val="21"/>
        </w:rPr>
        <w:t>Sanciono a seguinte lei</w:t>
      </w:r>
      <w:r w:rsidRPr="006B29F7">
        <w:rPr>
          <w:rFonts w:ascii="Verdana" w:hAnsi="Verdana" w:cs="Arial"/>
          <w:b/>
          <w:sz w:val="21"/>
          <w:szCs w:val="21"/>
        </w:rPr>
        <w:t>:</w:t>
      </w:r>
    </w:p>
    <w:p w:rsidR="00E95241" w:rsidRPr="006B29F7" w:rsidRDefault="00E95241" w:rsidP="00E95241">
      <w:pPr>
        <w:jc w:val="both"/>
        <w:rPr>
          <w:rFonts w:ascii="Verdana" w:hAnsi="Verdana" w:cs="Arial"/>
          <w:b/>
          <w:sz w:val="21"/>
          <w:szCs w:val="21"/>
        </w:rPr>
      </w:pPr>
    </w:p>
    <w:p w:rsidR="00E95241" w:rsidRPr="006B29F7" w:rsidRDefault="00E95241" w:rsidP="00E95241">
      <w:pPr>
        <w:tabs>
          <w:tab w:val="left" w:pos="6420"/>
        </w:tabs>
        <w:jc w:val="both"/>
        <w:rPr>
          <w:rFonts w:ascii="Verdana" w:hAnsi="Verdana"/>
          <w:b/>
          <w:bCs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Art. 1º.</w:t>
      </w:r>
      <w:r w:rsidRPr="006B29F7">
        <w:rPr>
          <w:rFonts w:ascii="Verdana" w:hAnsi="Verdana" w:cs="Tahoma"/>
          <w:sz w:val="21"/>
          <w:szCs w:val="21"/>
        </w:rPr>
        <w:t xml:space="preserve"> O Programa de Incentivo ao Desenvolvimento Econômico do Município de Córrego Fundo/MG, tem como objetivo a geração de emprego e renda, por meio da concessão de incentivos às empresas industriais, agroindustriais, comerciais e prestadoras de serviços que venham a se instalar ou ampliar suas atividades no âmbito municipal.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b/>
          <w:bCs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Art. 2º.</w:t>
      </w:r>
      <w:r w:rsidRPr="006B29F7">
        <w:rPr>
          <w:rFonts w:ascii="Verdana" w:hAnsi="Verdana" w:cs="Tahoma"/>
          <w:sz w:val="21"/>
          <w:szCs w:val="21"/>
        </w:rPr>
        <w:t xml:space="preserve"> Para implementação do Programa, o Poder Executivo Municipal poderá conceder incentivos fiscais, econômicos e infraestruturais, que poderão consistir em: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 – </w:t>
      </w:r>
      <w:proofErr w:type="gramStart"/>
      <w:r w:rsidRPr="006B29F7">
        <w:rPr>
          <w:rFonts w:ascii="Verdana" w:hAnsi="Verdana" w:cs="Tahoma"/>
          <w:sz w:val="21"/>
          <w:szCs w:val="21"/>
        </w:rPr>
        <w:t>doação ou cessão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de uso das áreas pertencentes ao Município de Córrego Fundo/MG, destinadas ao funcionamento das empresas interessadas em se instalar ou ampliar suas atividades em âmbito municipal;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 - </w:t>
      </w:r>
      <w:proofErr w:type="gramStart"/>
      <w:r w:rsidRPr="006B29F7">
        <w:rPr>
          <w:rFonts w:ascii="Verdana" w:hAnsi="Verdana" w:cs="Tahoma"/>
          <w:sz w:val="21"/>
          <w:szCs w:val="21"/>
        </w:rPr>
        <w:t>permuta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de imóvel do Município com serviço ou outro imóvel; 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III - execução, total ou parcial, de serviços de terraplanagem nos terrenos destinados à implantação ou ampliação de empresas;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IV – </w:t>
      </w:r>
      <w:proofErr w:type="gramStart"/>
      <w:r w:rsidRPr="006B29F7">
        <w:rPr>
          <w:rFonts w:ascii="Verdana" w:hAnsi="Verdana" w:cs="Tahoma"/>
          <w:sz w:val="21"/>
          <w:szCs w:val="21"/>
        </w:rPr>
        <w:t>execução, total ou parcial</w:t>
      </w:r>
      <w:proofErr w:type="gramEnd"/>
      <w:r w:rsidRPr="006B29F7">
        <w:rPr>
          <w:rFonts w:ascii="Verdana" w:hAnsi="Verdana" w:cs="Tahoma"/>
          <w:sz w:val="21"/>
          <w:szCs w:val="21"/>
        </w:rPr>
        <w:t>, de obras de infraestrutura do sistema viário, redes de água e esgoto, energia elétrica e telecomunicações nas áreas adquiridas para instalação ou ampliação de empresas;</w:t>
      </w:r>
    </w:p>
    <w:p w:rsidR="00E95241" w:rsidRPr="006B29F7" w:rsidRDefault="00E95241" w:rsidP="00E95241">
      <w:pPr>
        <w:spacing w:line="360" w:lineRule="auto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V - </w:t>
      </w:r>
      <w:proofErr w:type="gramStart"/>
      <w:r w:rsidRPr="006B29F7">
        <w:rPr>
          <w:rFonts w:ascii="Verdana" w:hAnsi="Verdana" w:cs="Tahoma"/>
          <w:sz w:val="21"/>
          <w:szCs w:val="21"/>
        </w:rPr>
        <w:t>disponibilização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de serviços de máquina;</w:t>
      </w:r>
    </w:p>
    <w:p w:rsidR="00E95241" w:rsidRPr="006B29F7" w:rsidRDefault="00E95241" w:rsidP="00E95241">
      <w:pPr>
        <w:spacing w:line="360" w:lineRule="auto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VI - </w:t>
      </w:r>
      <w:proofErr w:type="gramStart"/>
      <w:r w:rsidRPr="006B29F7">
        <w:rPr>
          <w:rFonts w:ascii="Verdana" w:hAnsi="Verdana" w:cs="Tahoma"/>
          <w:sz w:val="21"/>
          <w:szCs w:val="21"/>
        </w:rPr>
        <w:t>incentivo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financeiro sob a forma de subvenção econômica;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VII –incentivos fiscais consistentes em isenção parcial ou total dos tributos municipais;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VIII – incentivar as entidades empresariais representativas de classe visando o seu fortalecimento.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lastRenderedPageBreak/>
        <w:t>Art. 3º.</w:t>
      </w:r>
      <w:r w:rsidRPr="006B29F7">
        <w:rPr>
          <w:rFonts w:ascii="Verdana" w:hAnsi="Verdana" w:cs="Tahoma"/>
          <w:sz w:val="21"/>
          <w:szCs w:val="21"/>
        </w:rPr>
        <w:t xml:space="preserve"> Os incentivos deverão ser solicitados pela empresa por meio de requerimento específico, contendo os seguintes documentos: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 – </w:t>
      </w:r>
      <w:proofErr w:type="gramStart"/>
      <w:r w:rsidRPr="006B29F7">
        <w:rPr>
          <w:rFonts w:ascii="Verdana" w:hAnsi="Verdana" w:cs="Tahoma"/>
          <w:sz w:val="21"/>
          <w:szCs w:val="21"/>
        </w:rPr>
        <w:t>cópia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do contrato social devidamente registrado, acompanhada da última alteração contratual consolidada, se existente, ou documento equivalente que comprove a constituição da pessoa jurídica;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II – </w:t>
      </w:r>
      <w:proofErr w:type="gramStart"/>
      <w:r w:rsidRPr="006B29F7">
        <w:rPr>
          <w:rFonts w:ascii="Verdana" w:hAnsi="Verdana" w:cs="Tahoma"/>
          <w:sz w:val="21"/>
          <w:szCs w:val="21"/>
        </w:rPr>
        <w:t>cópias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dos documentos pessoais dos sócios ou administradores legalmente responsáveis;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III – comprovante de inscrição no Cadastro Nacional da Pessoa Jurídica – CNPJ, emitido com data não superior a 30 (trinta) dias da apresentação;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IV – </w:t>
      </w:r>
      <w:proofErr w:type="gramStart"/>
      <w:r w:rsidRPr="006B29F7">
        <w:rPr>
          <w:rFonts w:ascii="Verdana" w:hAnsi="Verdana" w:cs="Tahoma"/>
          <w:sz w:val="21"/>
          <w:szCs w:val="21"/>
        </w:rPr>
        <w:t>projeto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técnico da obra de construção ou ampliação, acompanhado do respectivo cronograma físico-financeiro de execução;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V – </w:t>
      </w:r>
      <w:proofErr w:type="gramStart"/>
      <w:r w:rsidRPr="006B29F7">
        <w:rPr>
          <w:rFonts w:ascii="Verdana" w:hAnsi="Verdana" w:cs="Tahoma"/>
          <w:sz w:val="21"/>
          <w:szCs w:val="21"/>
        </w:rPr>
        <w:t>plano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de atividades e serviços a serem desenvolvidos e estimativa de faturamento anual;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VI – </w:t>
      </w:r>
      <w:proofErr w:type="gramStart"/>
      <w:r w:rsidRPr="006B29F7">
        <w:rPr>
          <w:rFonts w:ascii="Verdana" w:hAnsi="Verdana" w:cs="Tahoma"/>
          <w:sz w:val="21"/>
          <w:szCs w:val="21"/>
        </w:rPr>
        <w:t>estimativa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do número de postos de trabalho diretos e indiretos a serem gerados;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VII – laudo de impacto ambiental, quando exigível, conforme a legislação aplicável.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Art. 4º. </w:t>
      </w:r>
      <w:r w:rsidRPr="006B29F7">
        <w:rPr>
          <w:rFonts w:ascii="Verdana" w:hAnsi="Verdana" w:cs="Tahoma"/>
          <w:sz w:val="21"/>
          <w:szCs w:val="21"/>
        </w:rPr>
        <w:t>A doação de imóveis públicos no âmbito deste Programa ficará condicionada ao cumprimento cumulativo dos seguintes requisitos: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 – </w:t>
      </w:r>
      <w:proofErr w:type="gramStart"/>
      <w:r w:rsidRPr="006B29F7">
        <w:rPr>
          <w:rFonts w:ascii="Verdana" w:hAnsi="Verdana" w:cs="Tahoma"/>
          <w:sz w:val="21"/>
          <w:szCs w:val="21"/>
        </w:rPr>
        <w:t>realização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de avaliação prévia da área a ser doada, com a devida instrução em processo administrativo;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II – </w:t>
      </w:r>
      <w:proofErr w:type="gramStart"/>
      <w:r w:rsidRPr="006B29F7">
        <w:rPr>
          <w:rFonts w:ascii="Verdana" w:hAnsi="Verdana" w:cs="Tahoma"/>
          <w:sz w:val="21"/>
          <w:szCs w:val="21"/>
        </w:rPr>
        <w:t>aprovação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do projeto técnico e do plano de viabilidade econômico-financeira pela Secretaria Municipal competente;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III - emissão de parecer favorável do Conselho Municipal de Desenvolvimento Econômico – CODECON, atestando a viabilidade do empreendimento e a conveniência da concessão do incentivo;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IV- </w:t>
      </w:r>
      <w:proofErr w:type="gramStart"/>
      <w:r w:rsidRPr="006B29F7">
        <w:rPr>
          <w:rFonts w:ascii="Verdana" w:hAnsi="Verdana" w:cs="Tahoma"/>
          <w:sz w:val="21"/>
          <w:szCs w:val="21"/>
        </w:rPr>
        <w:t>aprovação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expressa do Chefe do Poder Executivo, formalizada por meio de decreto, precedida de manifestação da Procuradoria Jurídica quanto à legalidade do procedimento;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V – </w:t>
      </w:r>
      <w:proofErr w:type="gramStart"/>
      <w:r w:rsidRPr="006B29F7">
        <w:rPr>
          <w:rFonts w:ascii="Verdana" w:hAnsi="Verdana" w:cs="Tahoma"/>
          <w:sz w:val="21"/>
          <w:szCs w:val="21"/>
        </w:rPr>
        <w:t>formalização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da doação por meio de escritura pública com cláusula de reversão, devidamente registrada no Cartório de Registro de Imóveis competente.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lastRenderedPageBreak/>
        <w:t>§1º</w:t>
      </w:r>
      <w:r w:rsidRPr="006B29F7">
        <w:rPr>
          <w:rFonts w:ascii="Verdana" w:hAnsi="Verdana" w:cs="Tahoma"/>
          <w:sz w:val="21"/>
          <w:szCs w:val="21"/>
        </w:rPr>
        <w:t xml:space="preserve">. Cada pessoa jurídica poderá ser beneficiada com apenas uma doação, salvo nos casos em que reste comprovada, de forma fundamentada, a necessidade de expansão das atividades empresariais, hipótese em que será admitida a doação de mais de um imóvel.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§ 2º. </w:t>
      </w:r>
      <w:r w:rsidRPr="006B29F7">
        <w:rPr>
          <w:rFonts w:ascii="Verdana" w:hAnsi="Verdana" w:cs="Tahoma"/>
          <w:sz w:val="21"/>
          <w:szCs w:val="21"/>
        </w:rPr>
        <w:t>Os imóveis doados deverão ser utilizados exclusivamente para a finalidade prevista no projeto previamente aprovado, sendo vedada sua subdivisão ou alienação, salvo em favor de terceiros que exerçam atividade econômica idêntica e que também estejam contemplados por projeto de incentivo aprovado nos termos desta Lei.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§3º. </w:t>
      </w:r>
      <w:r w:rsidRPr="006B29F7">
        <w:rPr>
          <w:rFonts w:ascii="Verdana" w:hAnsi="Verdana" w:cs="Tahoma"/>
          <w:sz w:val="21"/>
          <w:szCs w:val="21"/>
        </w:rPr>
        <w:t xml:space="preserve">Para fins de garantia de financiamento concedido exclusivamente por instituições integrantes do Sistema Financeiro Nacional, fica o Poder Executivo autorizado a anuir à constituição de hipoteca sobre os imóveis doados nos termos desta Lei, desde que expressamente prevista cláusula de retrocessão em favor do Município.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§ 4º.</w:t>
      </w:r>
      <w:r w:rsidRPr="006B29F7">
        <w:rPr>
          <w:rFonts w:ascii="Verdana" w:hAnsi="Verdana" w:cs="Tahoma"/>
          <w:sz w:val="21"/>
          <w:szCs w:val="21"/>
        </w:rPr>
        <w:t xml:space="preserve"> Decorridos 10 (dez) anos do registro da escritura, a donatária que tiver cumprido integralmente os encargos previstos poderá, a título de medida compensatória, pagar o valor de 20% do imóvel para supressão definitiva dos encargos de doação.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b/>
          <w:bCs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§5º.</w:t>
      </w:r>
      <w:r w:rsidRPr="006B29F7">
        <w:rPr>
          <w:rFonts w:ascii="Verdana" w:hAnsi="Verdana" w:cs="Tahoma"/>
          <w:sz w:val="21"/>
          <w:szCs w:val="21"/>
        </w:rPr>
        <w:t xml:space="preserve"> Para efeitos do §4º, deverá ser apurado o valor atualizado do imóvel, por meio de comissão técnica designada para tal finalidade e submetido à aprovação do Conselho de Desenvolvimento Econômico – CODECON.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Art. 5</w:t>
      </w:r>
      <w:r w:rsidRPr="006B29F7">
        <w:rPr>
          <w:rFonts w:ascii="Verdana" w:hAnsi="Verdana" w:cs="Tahoma"/>
          <w:sz w:val="21"/>
          <w:szCs w:val="21"/>
        </w:rPr>
        <w:t>°. A escritura pública de doação de que trata o art. 4º, deverá conter, de forma expressa, todas as condições e encargos assumidos pela beneficiária, inclusive os prazos para início e conclusão das obras, geração de empregos e cumprimento das demais obrigações previstas nesta Lei.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§1º</w:t>
      </w:r>
      <w:r w:rsidRPr="006B29F7">
        <w:rPr>
          <w:rFonts w:ascii="Verdana" w:hAnsi="Verdana" w:cs="Tahoma"/>
          <w:sz w:val="21"/>
          <w:szCs w:val="21"/>
        </w:rPr>
        <w:t>. Na escritura de doação constará, obrigatoriamente, cláusula de reversão do imóvel ao Município nas seguintes hipóteses: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 – </w:t>
      </w:r>
      <w:proofErr w:type="gramStart"/>
      <w:r w:rsidRPr="006B29F7">
        <w:rPr>
          <w:rFonts w:ascii="Verdana" w:hAnsi="Verdana" w:cs="Tahoma"/>
          <w:sz w:val="21"/>
          <w:szCs w:val="21"/>
        </w:rPr>
        <w:t>inobservância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do prazo de até 2 (dois) anos, contados do registro da escritura no Cartório de Registro de Imóveis, para o início das obras;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lastRenderedPageBreak/>
        <w:t xml:space="preserve">II – </w:t>
      </w:r>
      <w:proofErr w:type="gramStart"/>
      <w:r w:rsidRPr="006B29F7">
        <w:rPr>
          <w:rFonts w:ascii="Verdana" w:hAnsi="Verdana" w:cs="Tahoma"/>
          <w:sz w:val="21"/>
          <w:szCs w:val="21"/>
        </w:rPr>
        <w:t>paralisação ou inatividade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das atividades empresariais por período superior a 1 (um) ano;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III – manutenção de mais de 30% (trinta por cento) da área total do imóvel em situação de ociosidade por prazo superior a 5 (cinco) anos;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IV – </w:t>
      </w:r>
      <w:proofErr w:type="gramStart"/>
      <w:r w:rsidRPr="006B29F7">
        <w:rPr>
          <w:rFonts w:ascii="Verdana" w:hAnsi="Verdana" w:cs="Tahoma"/>
          <w:sz w:val="21"/>
          <w:szCs w:val="21"/>
        </w:rPr>
        <w:t>descumprimento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das obrigações assumidas no projeto técnico ou no plano de viabilidade aprovados.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§ 2º.</w:t>
      </w:r>
      <w:r w:rsidRPr="006B29F7">
        <w:rPr>
          <w:rFonts w:ascii="Verdana" w:hAnsi="Verdana" w:cs="Tahoma"/>
          <w:sz w:val="21"/>
          <w:szCs w:val="21"/>
        </w:rPr>
        <w:t xml:space="preserve"> A reversão será formalizada por processo administrativo, com ampla defesa e contraditório.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§ 3º.</w:t>
      </w:r>
      <w:r w:rsidRPr="006B29F7">
        <w:rPr>
          <w:rFonts w:ascii="Verdana" w:hAnsi="Verdana" w:cs="Tahoma"/>
          <w:sz w:val="21"/>
          <w:szCs w:val="21"/>
        </w:rPr>
        <w:t xml:space="preserve"> Em nenhuma das hipóteses de reversão previstas neste artigo será devida indenização por benfeitorias realizadas no imóvel.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Art. 6º.</w:t>
      </w:r>
      <w:r w:rsidRPr="006B29F7">
        <w:rPr>
          <w:sz w:val="21"/>
          <w:szCs w:val="21"/>
        </w:rPr>
        <w:t xml:space="preserve"> </w:t>
      </w:r>
      <w:r w:rsidRPr="006B29F7">
        <w:rPr>
          <w:rFonts w:ascii="Verdana" w:hAnsi="Verdana" w:cs="Tahoma"/>
          <w:sz w:val="21"/>
          <w:szCs w:val="21"/>
        </w:rPr>
        <w:t xml:space="preserve"> Para as doações realizadas anteriormente à presente Lei, cuja escritura pública já tenha sido registrada e cujos encargos tenham sido integralmente cumpridos pela donatária, fica o Município de Córrego Fundo autorizado a formalizar, por ato administrativo, o reconhecimento de cumprimento de encargo e autorizar o cancelamento da cláusula de reversão no registro imobiliário respectivo, mediante pagamento da compensação prevista no §4º, art. 4º, desta Lei.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Parágrafo único</w:t>
      </w:r>
      <w:r w:rsidRPr="006B29F7">
        <w:rPr>
          <w:rFonts w:ascii="Verdana" w:hAnsi="Verdana" w:cs="Tahoma"/>
          <w:sz w:val="21"/>
          <w:szCs w:val="21"/>
        </w:rPr>
        <w:t>. O ato administrativo de reconhecimento e a quitação integral da compensação prevista constituirão título hábil para averbação do cancelamento da cláusula de reversão no Cartório de Registro de Imóveis.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Art. 7º. </w:t>
      </w:r>
      <w:r w:rsidRPr="006B29F7">
        <w:rPr>
          <w:rFonts w:ascii="Verdana" w:hAnsi="Verdana" w:cs="Tahoma"/>
          <w:sz w:val="21"/>
          <w:szCs w:val="21"/>
        </w:rPr>
        <w:t>Os incentivos fiscais poderão ser concedidos pelo prazo de até 3 (três) anos, contados do efetivo início das atividades da empresa beneficiária.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Parágrafo único:</w:t>
      </w:r>
      <w:r w:rsidRPr="006B29F7">
        <w:rPr>
          <w:rFonts w:ascii="Verdana" w:hAnsi="Verdana" w:cs="Tahoma"/>
          <w:sz w:val="21"/>
          <w:szCs w:val="21"/>
        </w:rPr>
        <w:t xml:space="preserve"> A redução ou isenção de tributos municipais poderá ser estendida às empresas já instaladas no Município, desde que em processo de expansão, comprovado o aumento da oferta de empregos.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Art. 8º. </w:t>
      </w:r>
      <w:r w:rsidRPr="006B29F7">
        <w:rPr>
          <w:rFonts w:ascii="Verdana" w:hAnsi="Verdana" w:cs="Tahoma"/>
          <w:sz w:val="21"/>
          <w:szCs w:val="21"/>
        </w:rPr>
        <w:t xml:space="preserve">Caberá às empresas beneficiadas o cumprimento das demais Legislações pertinentes, especialmente as de proteção ao meio-ambiente, devendo o </w:t>
      </w:r>
      <w:r w:rsidRPr="006B29F7">
        <w:rPr>
          <w:rFonts w:ascii="Verdana" w:hAnsi="Verdana" w:cs="Tahoma"/>
          <w:sz w:val="21"/>
          <w:szCs w:val="21"/>
        </w:rPr>
        <w:lastRenderedPageBreak/>
        <w:t>Município de Córrego Fundo adotar as medidas destinadas ao aperfeiçoamento do desenvolvimento sustentável.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Art. 9º. </w:t>
      </w:r>
      <w:r w:rsidRPr="006B29F7">
        <w:rPr>
          <w:rFonts w:ascii="Verdana" w:hAnsi="Verdana" w:cs="Tahoma"/>
          <w:sz w:val="21"/>
          <w:szCs w:val="21"/>
        </w:rPr>
        <w:t>O Poder Executivo Municipal poderá utilizar, para a consecução das finalidades desta Lei, além dos recursos consignados no orçamento municipal, aqueles provenientes de convênios, transferências voluntárias, doações ou outras fontes legalmente admitidas.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b/>
          <w:bCs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Art. 10. </w:t>
      </w:r>
      <w:r w:rsidRPr="006B29F7">
        <w:rPr>
          <w:rFonts w:ascii="Verdana" w:hAnsi="Verdana" w:cs="Tahoma"/>
          <w:sz w:val="21"/>
          <w:szCs w:val="21"/>
        </w:rPr>
        <w:t>Fica criado o Conselho Municipal de Planejamento e Desenvolvimento Econômico – CODECON, órgão colegiado de natureza deliberativa, composto por 05 (cinco) membros efetivos e igual número de suplentes, com mandato de 2 (dois) anos, nomeados por ato do Chefe do Poder Executivo Municipal, com a seguinte composição: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 – 02 (dois) representantes de órgãos do Poder Executivo Municipal;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 – 01 (um) representante dos empregadores da indústria, da agroindústria, do comércio e de serviços;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III – 01 (um) representante dos trabalhadores da indústria, da agroindústria, do comércio e de serviços;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IV – 1 (um) representante da Câmara Municipal;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b/>
          <w:bCs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§ 1º. </w:t>
      </w:r>
      <w:r w:rsidRPr="006B29F7">
        <w:rPr>
          <w:rFonts w:ascii="Verdana" w:hAnsi="Verdana" w:cs="Tahoma"/>
          <w:sz w:val="21"/>
          <w:szCs w:val="21"/>
        </w:rPr>
        <w:t>Compete ao Conselho a função de avaliar as propostas e ações relacionadas ao planejamento e ao desenvolvimento econômico do Município.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§ 2º.</w:t>
      </w:r>
      <w:r w:rsidRPr="006B29F7">
        <w:rPr>
          <w:rFonts w:ascii="Verdana" w:hAnsi="Verdana" w:cs="Tahoma"/>
          <w:sz w:val="21"/>
          <w:szCs w:val="21"/>
        </w:rPr>
        <w:t xml:space="preserve"> Dentre os representantes descritos no item I, um deverá ser engenheiro e o outro servidor de carreira do Município de Córrego Fundo.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b/>
          <w:bCs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§ 3º. </w:t>
      </w:r>
      <w:r w:rsidRPr="006B29F7">
        <w:rPr>
          <w:rFonts w:ascii="Verdana" w:hAnsi="Verdana" w:cs="Tahoma"/>
          <w:sz w:val="21"/>
          <w:szCs w:val="21"/>
        </w:rPr>
        <w:t>A presidência do CODECON será exercida pelo Secretário Municipal de Obras, Meio Ambiente, Desenvolvimento e Agricultura, ou por quem legalmente o substituir.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Art. 11.</w:t>
      </w:r>
      <w:r w:rsidRPr="006B29F7">
        <w:rPr>
          <w:rFonts w:ascii="Verdana" w:hAnsi="Verdana" w:cs="Tahoma"/>
          <w:sz w:val="21"/>
          <w:szCs w:val="21"/>
        </w:rPr>
        <w:t xml:space="preserve"> Compete ao Conselho Municipal de Planejamento e Desenvolvimento Econômico – CODECON, sem prejuízo de outras atribuições previstas em regulamento, exercer as seguintes funções: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 – </w:t>
      </w:r>
      <w:proofErr w:type="gramStart"/>
      <w:r w:rsidRPr="006B29F7">
        <w:rPr>
          <w:rFonts w:ascii="Verdana" w:hAnsi="Verdana" w:cs="Tahoma"/>
          <w:sz w:val="21"/>
          <w:szCs w:val="21"/>
        </w:rPr>
        <w:t>ser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instrumento democrático de participação popular;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lastRenderedPageBreak/>
        <w:t xml:space="preserve">II – </w:t>
      </w:r>
      <w:proofErr w:type="gramStart"/>
      <w:r w:rsidRPr="006B29F7">
        <w:rPr>
          <w:rFonts w:ascii="Verdana" w:hAnsi="Verdana" w:cs="Tahoma"/>
          <w:sz w:val="21"/>
          <w:szCs w:val="21"/>
        </w:rPr>
        <w:t>promover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audiências públicas sobre o planejamento e o desenvolvimento econômico municipal;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III – promover debates e conferências para a criação e alteração da legislação municipal referente ao Plano Diretor;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IV – </w:t>
      </w:r>
      <w:proofErr w:type="gramStart"/>
      <w:r w:rsidRPr="006B29F7">
        <w:rPr>
          <w:rFonts w:ascii="Verdana" w:hAnsi="Verdana" w:cs="Tahoma"/>
          <w:sz w:val="21"/>
          <w:szCs w:val="21"/>
        </w:rPr>
        <w:t>opinar e promover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debates sobre os projetos de lei e decretos necessários à atualização e complementação do Plano Plurianual, da Lei de Diretrizes Orçamentárias e do Orçamento Anual;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V – </w:t>
      </w:r>
      <w:proofErr w:type="gramStart"/>
      <w:r w:rsidRPr="006B29F7">
        <w:rPr>
          <w:rFonts w:ascii="Verdana" w:hAnsi="Verdana" w:cs="Tahoma"/>
          <w:sz w:val="21"/>
          <w:szCs w:val="21"/>
        </w:rPr>
        <w:t>opinar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sobre as alterações dos padrões urbanísticos estabelecidos no Plano Diretor e na Lei de Zoneamento e Uso do Solo;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VI – </w:t>
      </w:r>
      <w:proofErr w:type="gramStart"/>
      <w:r w:rsidRPr="006B29F7">
        <w:rPr>
          <w:rFonts w:ascii="Verdana" w:hAnsi="Verdana" w:cs="Tahoma"/>
          <w:sz w:val="21"/>
          <w:szCs w:val="21"/>
        </w:rPr>
        <w:t>opinar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sobre a programação de investimentos anual e plurianual, dos instrumentos de planejamento municipal;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VII – acompanhar o desenvolvimento das ações e a aplicação dos recursos orçamentários das entidades públicas ou privadas, que prestem serviço ao Município;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>VIII – convocar o Prefeito, os Secretários e autoridades de nível local para audiências públicas sobre temas de interesse relevante para a população da região;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IX – </w:t>
      </w:r>
      <w:proofErr w:type="gramStart"/>
      <w:r w:rsidRPr="006B29F7">
        <w:rPr>
          <w:rFonts w:ascii="Verdana" w:hAnsi="Verdana" w:cs="Tahoma"/>
          <w:sz w:val="21"/>
          <w:szCs w:val="21"/>
        </w:rPr>
        <w:t>dar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parecer sobre: concessões de auxílio e subvenções; concessão de serviços públicos; concessão do direito real de uso de bens municipais; concessão administrativa do uso de bens municipais; alienação de bens imóveis municipais; aquisição de bens imóveis, salvo quando se tratar de doação sem encargos, nos casos em que exista interesse local;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X – </w:t>
      </w:r>
      <w:proofErr w:type="gramStart"/>
      <w:r w:rsidRPr="006B29F7">
        <w:rPr>
          <w:rFonts w:ascii="Verdana" w:hAnsi="Verdana" w:cs="Tahoma"/>
          <w:sz w:val="21"/>
          <w:szCs w:val="21"/>
        </w:rPr>
        <w:t>elaborar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o seu regimento interno;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XI – promover um canal de comunicação efetivo entre o Poder Público e os cidadãos </w:t>
      </w:r>
      <w:proofErr w:type="spellStart"/>
      <w:r w:rsidRPr="006B29F7">
        <w:rPr>
          <w:rFonts w:ascii="Verdana" w:hAnsi="Verdana" w:cs="Tahoma"/>
          <w:sz w:val="21"/>
          <w:szCs w:val="21"/>
        </w:rPr>
        <w:t>Corregofundenses</w:t>
      </w:r>
      <w:proofErr w:type="spellEnd"/>
      <w:r w:rsidRPr="006B29F7">
        <w:rPr>
          <w:rFonts w:ascii="Verdana" w:hAnsi="Verdana" w:cs="Tahoma"/>
          <w:sz w:val="21"/>
          <w:szCs w:val="21"/>
        </w:rPr>
        <w:t>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Art. 12. </w:t>
      </w:r>
      <w:r w:rsidRPr="006B29F7">
        <w:rPr>
          <w:rFonts w:ascii="Verdana" w:hAnsi="Verdana" w:cs="Tahoma"/>
          <w:sz w:val="21"/>
          <w:szCs w:val="21"/>
        </w:rPr>
        <w:t>Compete, ainda, ao CODECON: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b/>
          <w:bCs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 – </w:t>
      </w:r>
      <w:proofErr w:type="gramStart"/>
      <w:r w:rsidRPr="006B29F7">
        <w:rPr>
          <w:rFonts w:ascii="Verdana" w:hAnsi="Verdana" w:cs="Tahoma"/>
          <w:sz w:val="21"/>
          <w:szCs w:val="21"/>
        </w:rPr>
        <w:t>emitir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parecer sobre a viabilidade ou não de programas ou projetos de desenvolvimento econômico a serem implantados no Município, em especial aqueles apresentados por empresa interessada em receber os benefícios;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II – </w:t>
      </w:r>
      <w:proofErr w:type="gramStart"/>
      <w:r w:rsidRPr="006B29F7">
        <w:rPr>
          <w:rFonts w:ascii="Verdana" w:hAnsi="Verdana" w:cs="Tahoma"/>
          <w:sz w:val="21"/>
          <w:szCs w:val="21"/>
        </w:rPr>
        <w:t>examinar</w:t>
      </w:r>
      <w:proofErr w:type="gramEnd"/>
      <w:r w:rsidRPr="006B29F7">
        <w:rPr>
          <w:rFonts w:ascii="Verdana" w:hAnsi="Verdana" w:cs="Tahoma"/>
          <w:sz w:val="21"/>
          <w:szCs w:val="21"/>
        </w:rPr>
        <w:t xml:space="preserve"> os casos de revisão, suspensão ou revogação dos incentivos concedidos na forma das disposições previstas nesta Lei e em seu regulamento;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sz w:val="21"/>
          <w:szCs w:val="21"/>
        </w:rPr>
        <w:t xml:space="preserve">III – elaborar o seu regimento interno e encaminhá-lo ao </w:t>
      </w:r>
      <w:r w:rsidRPr="006B29F7">
        <w:rPr>
          <w:rFonts w:ascii="Verdana" w:hAnsi="Verdana" w:cs="Tahoma"/>
          <w:sz w:val="21"/>
          <w:szCs w:val="21"/>
        </w:rPr>
        <w:br/>
        <w:t>Chefe do Poder Executivo para a aprovação.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lastRenderedPageBreak/>
        <w:t>Art. 13.</w:t>
      </w:r>
      <w:r w:rsidRPr="006B29F7">
        <w:rPr>
          <w:rFonts w:ascii="Verdana" w:hAnsi="Verdana" w:cs="Tahoma"/>
          <w:sz w:val="21"/>
          <w:szCs w:val="21"/>
        </w:rPr>
        <w:t xml:space="preserve"> O Conselho Municipal de Planejamento e Desenvolvimento Econômico – CODECON – deverá ser regulamentado, por ato do Poder Executivo, no prazo máximo de 60 (sessenta) dias contados da publicação da presente lei.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 xml:space="preserve">Art. 14. </w:t>
      </w:r>
      <w:r w:rsidRPr="006B29F7">
        <w:rPr>
          <w:rFonts w:ascii="Verdana" w:hAnsi="Verdana" w:cs="Tahoma"/>
          <w:sz w:val="21"/>
          <w:szCs w:val="21"/>
        </w:rPr>
        <w:t xml:space="preserve">Ficam convalidadas as doações realizadas antes da promulgação da presente lei que tenham tido como objetivo a geração de emprego e renda, por meio da concessão de incentivos às empresas industriais, agroindustriais, comerciais e prestadoras de serviços que venham a se instalar ou ampliar suas atividades no âmbito municipal. </w:t>
      </w:r>
    </w:p>
    <w:p w:rsidR="00E95241" w:rsidRPr="006B29F7" w:rsidRDefault="00E95241" w:rsidP="00E95241">
      <w:pPr>
        <w:jc w:val="both"/>
        <w:rPr>
          <w:rFonts w:ascii="Verdana" w:hAnsi="Verdana" w:cs="Tahoma"/>
          <w:b/>
          <w:bCs/>
          <w:sz w:val="21"/>
          <w:szCs w:val="21"/>
        </w:rPr>
      </w:pPr>
    </w:p>
    <w:p w:rsidR="00E95241" w:rsidRPr="006B29F7" w:rsidRDefault="00E95241" w:rsidP="00E95241">
      <w:pPr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Parágrafo único</w:t>
      </w:r>
      <w:r w:rsidRPr="006B29F7">
        <w:rPr>
          <w:rFonts w:ascii="Verdana" w:hAnsi="Verdana" w:cs="Tahoma"/>
          <w:sz w:val="21"/>
          <w:szCs w:val="21"/>
        </w:rPr>
        <w:t xml:space="preserve">: A presente legislação aplica-se no que couber às referidas doações. 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b/>
          <w:bCs/>
          <w:sz w:val="21"/>
          <w:szCs w:val="21"/>
        </w:rPr>
      </w:pPr>
    </w:p>
    <w:p w:rsidR="00E95241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  <w:r w:rsidRPr="006B29F7">
        <w:rPr>
          <w:rFonts w:ascii="Verdana" w:hAnsi="Verdana" w:cs="Tahoma"/>
          <w:b/>
          <w:bCs/>
          <w:sz w:val="21"/>
          <w:szCs w:val="21"/>
        </w:rPr>
        <w:t>Art. 15.</w:t>
      </w:r>
      <w:r w:rsidRPr="006B29F7">
        <w:rPr>
          <w:rFonts w:ascii="Verdana" w:hAnsi="Verdana" w:cs="Tahoma"/>
          <w:sz w:val="21"/>
          <w:szCs w:val="21"/>
        </w:rPr>
        <w:t xml:space="preserve"> Esta Lei entra em vigor na data de sua publicação, devendo a sua regulamentação ser expedida no prazo máximo de 60 (sessenta) dias, revogando-se a Lei nº 515/2011 e demais disposições em contrário.</w:t>
      </w:r>
    </w:p>
    <w:p w:rsidR="00E95241" w:rsidRPr="006B29F7" w:rsidRDefault="00E95241" w:rsidP="00E95241">
      <w:pPr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:rsidR="00E95241" w:rsidRDefault="00E95241" w:rsidP="00E95241">
      <w:pPr>
        <w:pStyle w:val="Textoembloco"/>
        <w:ind w:left="709" w:hanging="1"/>
        <w:rPr>
          <w:rFonts w:ascii="Verdana" w:hAnsi="Verdana"/>
          <w:sz w:val="21"/>
          <w:szCs w:val="21"/>
        </w:rPr>
      </w:pPr>
      <w:r w:rsidRPr="006B29F7">
        <w:rPr>
          <w:rFonts w:ascii="Verdana" w:hAnsi="Verdana"/>
          <w:sz w:val="21"/>
          <w:szCs w:val="21"/>
        </w:rPr>
        <w:tab/>
      </w:r>
      <w:r w:rsidRPr="006B29F7">
        <w:rPr>
          <w:rFonts w:ascii="Verdana" w:hAnsi="Verdana"/>
          <w:sz w:val="21"/>
          <w:szCs w:val="21"/>
        </w:rPr>
        <w:tab/>
        <w:t>Córrego Fundo/MG, 1</w:t>
      </w:r>
      <w:r>
        <w:rPr>
          <w:rFonts w:ascii="Verdana" w:hAnsi="Verdana"/>
          <w:sz w:val="21"/>
          <w:szCs w:val="21"/>
        </w:rPr>
        <w:t>8</w:t>
      </w:r>
      <w:r w:rsidRPr="006B29F7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junho</w:t>
      </w:r>
      <w:r w:rsidRPr="006B29F7">
        <w:rPr>
          <w:rFonts w:ascii="Verdana" w:hAnsi="Verdana"/>
          <w:sz w:val="21"/>
          <w:szCs w:val="21"/>
        </w:rPr>
        <w:t xml:space="preserve"> de 2025.</w:t>
      </w:r>
    </w:p>
    <w:p w:rsidR="00E95241" w:rsidRDefault="00E95241" w:rsidP="00E95241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E95241" w:rsidRPr="006B29F7" w:rsidRDefault="00E95241" w:rsidP="00E95241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E95241" w:rsidRPr="006B29F7" w:rsidRDefault="00E95241" w:rsidP="00E95241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E95241" w:rsidRPr="006B29F7" w:rsidRDefault="00E95241" w:rsidP="00E95241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6B29F7">
        <w:rPr>
          <w:rFonts w:ascii="Verdana" w:hAnsi="Verdana" w:cs="Arial"/>
          <w:b/>
          <w:sz w:val="21"/>
          <w:szCs w:val="21"/>
        </w:rPr>
        <w:t>DANILO OLIVEIRA CAMPOS</w:t>
      </w:r>
    </w:p>
    <w:p w:rsidR="00E95241" w:rsidRPr="006B29F7" w:rsidRDefault="00E95241" w:rsidP="00E95241">
      <w:pPr>
        <w:tabs>
          <w:tab w:val="left" w:pos="0"/>
        </w:tabs>
        <w:jc w:val="center"/>
        <w:rPr>
          <w:rFonts w:ascii="Verdana" w:hAnsi="Verdana" w:cs="Arial"/>
          <w:sz w:val="21"/>
          <w:szCs w:val="21"/>
        </w:rPr>
      </w:pPr>
      <w:r w:rsidRPr="006B29F7">
        <w:rPr>
          <w:rFonts w:ascii="Verdana" w:hAnsi="Verdana" w:cs="Arial"/>
          <w:sz w:val="21"/>
          <w:szCs w:val="21"/>
        </w:rPr>
        <w:t>Prefeito</w:t>
      </w:r>
    </w:p>
    <w:p w:rsidR="00E95241" w:rsidRPr="006B29F7" w:rsidRDefault="00E95241" w:rsidP="00E95241">
      <w:pPr>
        <w:rPr>
          <w:rFonts w:ascii="Verdana" w:hAnsi="Verdana"/>
          <w:sz w:val="21"/>
          <w:szCs w:val="21"/>
        </w:rPr>
      </w:pPr>
    </w:p>
    <w:p w:rsidR="00013EB3" w:rsidRDefault="00013EB3"/>
    <w:sectPr w:rsidR="00013EB3" w:rsidSect="00E95241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D61D61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D61D61">
    <w:pPr>
      <w:pStyle w:val="Rodap"/>
      <w:ind w:right="360"/>
      <w:jc w:val="center"/>
      <w:rPr>
        <w:sz w:val="10"/>
        <w:szCs w:val="10"/>
      </w:rPr>
    </w:pPr>
  </w:p>
  <w:p w:rsidR="00000000" w:rsidRDefault="00000000" w:rsidP="00D61D61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D61D61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D61D61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066455169"/>
        <w:docPartObj>
          <w:docPartGallery w:val="Page Numbers (Margins)"/>
          <w:docPartUnique/>
        </w:docPartObj>
      </w:sdtPr>
      <w:sdtContent>
        <w:r w:rsidRPr="00D86030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D08DA37" wp14:editId="77A842B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145364805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74541787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87963072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3346038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52204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08DA37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XzooPVwDAADeCgAADgAA&#10;AAAAAAAAAAAAAAAuAgAAZHJzL2Uyb0RvYy54bWxQSwECLQAUAAYACAAAACEAqiUKot0AAAADAQAA&#10;DwAAAAAAAAAAAAAAAAC2BQAAZHJzL2Rvd25yZXYueG1sUEsFBgAAAAAEAAQA8wAAAMA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" filled="f" stroked="f">
                    <v:textbox inset="0,0,0,0">
                      <w:txbxContent>
                        <w:p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D61D6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D61D6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D61D6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13BB40" wp14:editId="4903413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19980397" name="Imagem 19980397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41"/>
    <w:rsid w:val="00013EB3"/>
    <w:rsid w:val="006327FF"/>
    <w:rsid w:val="00766EE0"/>
    <w:rsid w:val="00985B8F"/>
    <w:rsid w:val="00B85765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1D0A"/>
  <w15:chartTrackingRefBased/>
  <w15:docId w15:val="{E02F3EEC-96A2-47D0-B400-BEC9454C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952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52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2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52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52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52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52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52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52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52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524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52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52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52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52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5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52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52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52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5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524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524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524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52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524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E952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524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E95241"/>
    <w:pPr>
      <w:ind w:left="78" w:right="-143" w:hanging="312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1843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2025-06-18T19:16:00Z</dcterms:created>
  <dcterms:modified xsi:type="dcterms:W3CDTF">2025-06-18T19:18:00Z</dcterms:modified>
</cp:coreProperties>
</file>