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AE1" w:rsidRDefault="00B95AE1" w:rsidP="00B95AE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869 </w:t>
      </w:r>
      <w:r w:rsidRPr="004E261A">
        <w:rPr>
          <w:rFonts w:ascii="Verdana" w:hAnsi="Verdana"/>
          <w:b/>
          <w:bCs/>
          <w:sz w:val="22"/>
          <w:szCs w:val="22"/>
        </w:rPr>
        <w:t xml:space="preserve">DE </w:t>
      </w:r>
      <w:r w:rsidRPr="00B95AE1">
        <w:rPr>
          <w:rFonts w:ascii="Verdana" w:hAnsi="Verdana"/>
          <w:b/>
          <w:bCs/>
          <w:sz w:val="22"/>
          <w:szCs w:val="22"/>
          <w:highlight w:val="yellow"/>
        </w:rPr>
        <w:t>15</w:t>
      </w:r>
      <w:r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FEVEREIRO</w:t>
      </w:r>
      <w:r>
        <w:rPr>
          <w:rFonts w:ascii="Verdana" w:hAnsi="Verdana"/>
          <w:b/>
          <w:bCs/>
          <w:sz w:val="22"/>
          <w:szCs w:val="22"/>
        </w:rPr>
        <w:t xml:space="preserve"> DE 2023.</w:t>
      </w:r>
    </w:p>
    <w:p w:rsidR="00B95AE1" w:rsidRDefault="00B95AE1" w:rsidP="00B95AE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B95AE1" w:rsidRPr="004E261A" w:rsidRDefault="00B95AE1" w:rsidP="00B95AE1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2"/>
          <w:szCs w:val="22"/>
        </w:rPr>
      </w:pPr>
    </w:p>
    <w:p w:rsidR="00B95AE1" w:rsidRDefault="00B95AE1" w:rsidP="00B95AE1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AUTORIZA ABERTURA DE </w:t>
      </w:r>
      <w:r w:rsidRPr="005314B9">
        <w:rPr>
          <w:rFonts w:ascii="Verdana" w:hAnsi="Verdana"/>
          <w:b/>
          <w:bCs/>
          <w:i/>
          <w:noProof/>
          <w:sz w:val="22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2"/>
        </w:rPr>
        <w:t>ESPECIAL</w:t>
      </w:r>
      <w:r>
        <w:rPr>
          <w:rFonts w:ascii="Verdana" w:hAnsi="Verdana"/>
          <w:b/>
          <w:bCs/>
          <w:iCs/>
          <w:noProof/>
          <w:sz w:val="22"/>
        </w:rPr>
        <w:t xml:space="preserve"> COM FONTE EM ANULAÇÃO DE DOTAÇÃO”</w:t>
      </w:r>
    </w:p>
    <w:p w:rsidR="00B95AE1" w:rsidRPr="00BE3180" w:rsidRDefault="00B95AE1" w:rsidP="00B95AE1"/>
    <w:p w:rsidR="00B95AE1" w:rsidRPr="002E1B5F" w:rsidRDefault="00B95AE1" w:rsidP="00B95AE1"/>
    <w:p w:rsidR="00B95AE1" w:rsidRPr="004E261A" w:rsidRDefault="00B95AE1" w:rsidP="00B95AE1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:rsidR="00B95AE1" w:rsidRPr="004E261A" w:rsidRDefault="00B95AE1" w:rsidP="00B95AE1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B95AE1" w:rsidRPr="004E261A" w:rsidRDefault="00B95AE1" w:rsidP="00B95AE1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B95AE1" w:rsidRPr="0033025D" w:rsidRDefault="00B95AE1" w:rsidP="00B95AE1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 xml:space="preserve">autorizado a abrir, por meio </w:t>
      </w:r>
      <w:r>
        <w:rPr>
          <w:rFonts w:ascii="Verdana" w:hAnsi="Verdana" w:cs="Arial"/>
          <w:bCs/>
          <w:sz w:val="22"/>
          <w:szCs w:val="22"/>
        </w:rPr>
        <w:t>do Serviço Autônomo de Água e Esgoto</w:t>
      </w:r>
      <w:r w:rsidRPr="00B0069A">
        <w:rPr>
          <w:rFonts w:ascii="Verdana" w:hAnsi="Verdana" w:cs="Arial"/>
          <w:bCs/>
          <w:sz w:val="22"/>
          <w:szCs w:val="22"/>
        </w:rPr>
        <w:t xml:space="preserve">, </w:t>
      </w:r>
      <w:r w:rsidRPr="005314B9">
        <w:rPr>
          <w:rFonts w:ascii="Verdana" w:hAnsi="Verdana" w:cs="Arial"/>
          <w:b/>
          <w:i/>
          <w:iCs/>
          <w:sz w:val="22"/>
          <w:szCs w:val="22"/>
        </w:rPr>
        <w:t xml:space="preserve">Crédito Adicional </w:t>
      </w:r>
      <w:r>
        <w:rPr>
          <w:rFonts w:ascii="Verdana" w:hAnsi="Verdana" w:cs="Arial"/>
          <w:b/>
          <w:i/>
          <w:iCs/>
          <w:sz w:val="22"/>
          <w:szCs w:val="22"/>
        </w:rPr>
        <w:t xml:space="preserve">Especial </w:t>
      </w:r>
      <w:r w:rsidRPr="0033025D">
        <w:rPr>
          <w:rFonts w:ascii="Verdana" w:hAnsi="Verdana" w:cs="Arial"/>
          <w:bCs/>
          <w:sz w:val="22"/>
          <w:szCs w:val="22"/>
        </w:rPr>
        <w:t>no valor total de</w:t>
      </w:r>
      <w:r>
        <w:rPr>
          <w:rFonts w:ascii="Verdana" w:hAnsi="Verdana" w:cs="Arial"/>
          <w:b/>
          <w:i/>
          <w:iCs/>
          <w:sz w:val="22"/>
          <w:szCs w:val="22"/>
        </w:rPr>
        <w:t xml:space="preserve"> R$ 18.000,00(Dezoito Mil Reais)</w:t>
      </w:r>
      <w:r>
        <w:rPr>
          <w:rFonts w:ascii="Verdana" w:hAnsi="Verdana" w:cs="Arial"/>
          <w:bCs/>
          <w:sz w:val="22"/>
          <w:szCs w:val="22"/>
        </w:rPr>
        <w:t>, com recursos de anulação de dotação, nos termos do Art. 43, § 1º, Inciso I da Lei Federal 4.320/1964, no Orçamento do exercício de 2023,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conforme estrutura </w:t>
      </w:r>
      <w:r w:rsidRPr="0033025D">
        <w:rPr>
          <w:rFonts w:ascii="Verdana" w:hAnsi="Verdana" w:cs="Arial"/>
          <w:bCs/>
          <w:sz w:val="22"/>
          <w:szCs w:val="22"/>
        </w:rPr>
        <w:t>funcional e programática a seguir:</w:t>
      </w:r>
    </w:p>
    <w:p w:rsidR="00B95AE1" w:rsidRPr="0033025D" w:rsidRDefault="00B95AE1" w:rsidP="00B95AE1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B95AE1" w:rsidRPr="0033025D" w:rsidRDefault="00B95AE1" w:rsidP="00B95AE1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  <w:r w:rsidRPr="0033025D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:rsidR="00B95AE1" w:rsidRPr="0033025D" w:rsidRDefault="00B95AE1" w:rsidP="00B95AE1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95AE1" w:rsidRPr="0033025D" w:rsidRDefault="00B95AE1" w:rsidP="00B95AE1">
      <w:pPr>
        <w:numPr>
          <w:ilvl w:val="0"/>
          <w:numId w:val="1"/>
        </w:numPr>
        <w:pBdr>
          <w:left w:val="single" w:sz="4" w:space="4" w:color="auto"/>
        </w:pBdr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Divisão: Código/Descrição </w:t>
      </w:r>
      <w:r>
        <w:rPr>
          <w:rFonts w:ascii="Verdana" w:hAnsi="Verdana" w:cs="Arial"/>
          <w:b/>
          <w:sz w:val="22"/>
          <w:szCs w:val="22"/>
          <w:u w:val="single"/>
        </w:rPr>
        <w:t>03</w:t>
      </w:r>
      <w:r w:rsidRPr="0033025D">
        <w:rPr>
          <w:rFonts w:ascii="Verdana" w:hAnsi="Verdana" w:cs="Arial"/>
          <w:b/>
          <w:sz w:val="22"/>
          <w:szCs w:val="22"/>
          <w:u w:val="single"/>
        </w:rPr>
        <w:t>.</w:t>
      </w:r>
      <w:r>
        <w:rPr>
          <w:rFonts w:ascii="Verdana" w:hAnsi="Verdana" w:cs="Arial"/>
          <w:b/>
          <w:sz w:val="22"/>
          <w:szCs w:val="22"/>
          <w:u w:val="single"/>
        </w:rPr>
        <w:t>001</w:t>
      </w:r>
      <w:r w:rsidRPr="0033025D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SERVIÇO AUTÔNOMO DE ÁGUA E ESGOTO</w:t>
      </w:r>
    </w:p>
    <w:p w:rsidR="00B95AE1" w:rsidRPr="0033025D" w:rsidRDefault="00B95AE1" w:rsidP="00B95AE1">
      <w:pPr>
        <w:numPr>
          <w:ilvl w:val="0"/>
          <w:numId w:val="1"/>
        </w:numPr>
        <w:pBdr>
          <w:left w:val="single" w:sz="4" w:space="4" w:color="auto"/>
        </w:pBdr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Função:  </w:t>
      </w:r>
      <w:r>
        <w:rPr>
          <w:rFonts w:ascii="Verdana" w:hAnsi="Verdana" w:cs="Arial"/>
          <w:b/>
          <w:sz w:val="22"/>
          <w:szCs w:val="22"/>
          <w:u w:val="single"/>
        </w:rPr>
        <w:t>17</w:t>
      </w:r>
      <w:r w:rsidRPr="0033025D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SANEAMENTO</w:t>
      </w:r>
    </w:p>
    <w:p w:rsidR="00B95AE1" w:rsidRPr="0033025D" w:rsidRDefault="00B95AE1" w:rsidP="00B95AE1">
      <w:pPr>
        <w:numPr>
          <w:ilvl w:val="0"/>
          <w:numId w:val="1"/>
        </w:numPr>
        <w:pBdr>
          <w:left w:val="single" w:sz="4" w:space="4" w:color="auto"/>
        </w:pBdr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Subfunção: </w:t>
      </w:r>
      <w:r>
        <w:rPr>
          <w:rFonts w:ascii="Verdana" w:hAnsi="Verdana" w:cs="Arial"/>
          <w:b/>
          <w:sz w:val="22"/>
          <w:szCs w:val="22"/>
          <w:u w:val="single"/>
        </w:rPr>
        <w:t>512</w:t>
      </w:r>
      <w:r w:rsidRPr="0033025D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SANEAMENTO BÁSICO URBANO</w:t>
      </w:r>
    </w:p>
    <w:p w:rsidR="00B95AE1" w:rsidRPr="0033025D" w:rsidRDefault="00B95AE1" w:rsidP="00B95AE1">
      <w:pPr>
        <w:numPr>
          <w:ilvl w:val="0"/>
          <w:numId w:val="1"/>
        </w:numPr>
        <w:pBdr>
          <w:left w:val="single" w:sz="4" w:space="4" w:color="auto"/>
        </w:pBdr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Programa: </w:t>
      </w:r>
      <w:r>
        <w:rPr>
          <w:rFonts w:ascii="Verdana" w:hAnsi="Verdana" w:cs="Arial"/>
          <w:b/>
          <w:sz w:val="22"/>
          <w:szCs w:val="22"/>
          <w:u w:val="single"/>
        </w:rPr>
        <w:t>0402</w:t>
      </w:r>
      <w:r w:rsidRPr="0033025D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SISTEMA DA ADMINISTRAÇÃO</w:t>
      </w:r>
    </w:p>
    <w:p w:rsidR="00B95AE1" w:rsidRPr="0033025D" w:rsidRDefault="00B95AE1" w:rsidP="00B95AE1">
      <w:pPr>
        <w:numPr>
          <w:ilvl w:val="0"/>
          <w:numId w:val="1"/>
        </w:numPr>
        <w:pBdr>
          <w:left w:val="single" w:sz="4" w:space="4" w:color="auto"/>
        </w:pBdr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Ação/Atividade: </w:t>
      </w:r>
      <w:r>
        <w:rPr>
          <w:rFonts w:ascii="Verdana" w:hAnsi="Verdana" w:cs="Arial"/>
          <w:b/>
          <w:sz w:val="22"/>
          <w:szCs w:val="22"/>
          <w:u w:val="single"/>
        </w:rPr>
        <w:t>2762</w:t>
      </w:r>
      <w:r w:rsidRPr="0033025D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MANUTENÇÃO DOS SERVIÇOS ADMINISTRATIVOS</w:t>
      </w:r>
    </w:p>
    <w:p w:rsidR="00B95AE1" w:rsidRPr="0033025D" w:rsidRDefault="00B95AE1" w:rsidP="00B95AE1">
      <w:pPr>
        <w:numPr>
          <w:ilvl w:val="0"/>
          <w:numId w:val="1"/>
        </w:numPr>
        <w:pBdr>
          <w:left w:val="single" w:sz="4" w:space="4" w:color="auto"/>
        </w:pBdr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Elemento: </w:t>
      </w:r>
      <w:r>
        <w:rPr>
          <w:rFonts w:ascii="Verdana" w:hAnsi="Verdana" w:cs="Arial"/>
          <w:b/>
          <w:sz w:val="22"/>
          <w:szCs w:val="22"/>
          <w:u w:val="single"/>
        </w:rPr>
        <w:t>3.3.93.39</w:t>
      </w:r>
      <w:r w:rsidRPr="0033025D">
        <w:rPr>
          <w:rFonts w:ascii="Verdana" w:hAnsi="Verdana" w:cs="Arial"/>
          <w:b/>
          <w:sz w:val="22"/>
          <w:szCs w:val="22"/>
          <w:u w:val="single"/>
        </w:rPr>
        <w:t>.00</w:t>
      </w:r>
      <w:r w:rsidRPr="0033025D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OUTROS SERVIÇOS DE TERCEIRO PESSOA JURÍDICA</w:t>
      </w:r>
    </w:p>
    <w:p w:rsidR="00B95AE1" w:rsidRPr="0033025D" w:rsidRDefault="00B95AE1" w:rsidP="00B95AE1">
      <w:pPr>
        <w:numPr>
          <w:ilvl w:val="0"/>
          <w:numId w:val="1"/>
        </w:numPr>
        <w:pBdr>
          <w:left w:val="single" w:sz="4" w:space="4" w:color="auto"/>
        </w:pBdr>
        <w:ind w:left="851" w:hanging="284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Fonte: </w:t>
      </w:r>
      <w:r>
        <w:rPr>
          <w:rFonts w:ascii="Verdana" w:hAnsi="Verdana" w:cs="Arial"/>
          <w:b/>
          <w:sz w:val="22"/>
          <w:szCs w:val="22"/>
          <w:u w:val="single"/>
        </w:rPr>
        <w:t>1</w:t>
      </w:r>
      <w:r w:rsidRPr="0033025D">
        <w:rPr>
          <w:rFonts w:ascii="Verdana" w:hAnsi="Verdana" w:cs="Arial"/>
          <w:b/>
          <w:sz w:val="22"/>
          <w:szCs w:val="22"/>
          <w:u w:val="single"/>
        </w:rPr>
        <w:t>.</w:t>
      </w:r>
      <w:r>
        <w:rPr>
          <w:rFonts w:ascii="Verdana" w:hAnsi="Verdana" w:cs="Arial"/>
          <w:b/>
          <w:sz w:val="22"/>
          <w:szCs w:val="22"/>
          <w:u w:val="single"/>
        </w:rPr>
        <w:t>753</w:t>
      </w:r>
      <w:r w:rsidRPr="0033025D">
        <w:rPr>
          <w:rFonts w:ascii="Verdana" w:hAnsi="Verdana" w:cs="Arial"/>
          <w:b/>
          <w:sz w:val="22"/>
          <w:szCs w:val="22"/>
          <w:u w:val="single"/>
        </w:rPr>
        <w:t>.000.0000</w:t>
      </w:r>
      <w:r w:rsidRPr="0033025D">
        <w:rPr>
          <w:rFonts w:ascii="Verdana" w:hAnsi="Verdana" w:cs="Arial"/>
          <w:bCs/>
          <w:sz w:val="22"/>
          <w:szCs w:val="22"/>
        </w:rPr>
        <w:t xml:space="preserve"> – </w:t>
      </w:r>
      <w:r w:rsidRPr="003B6006">
        <w:rPr>
          <w:rFonts w:ascii="Verdana" w:hAnsi="Verdana" w:cs="Arial"/>
          <w:bCs/>
          <w:sz w:val="22"/>
          <w:szCs w:val="22"/>
        </w:rPr>
        <w:t>Recursos Provenientes de Taxas, Contribuições e Preços Públicos</w:t>
      </w:r>
    </w:p>
    <w:p w:rsidR="00B95AE1" w:rsidRDefault="00B95AE1" w:rsidP="00B95AE1">
      <w:pPr>
        <w:numPr>
          <w:ilvl w:val="0"/>
          <w:numId w:val="1"/>
        </w:numPr>
        <w:pBdr>
          <w:left w:val="single" w:sz="4" w:space="4" w:color="auto"/>
        </w:pBdr>
        <w:ind w:left="851" w:hanging="284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Valor total do Crédito Adicional: R$ </w:t>
      </w:r>
      <w:r>
        <w:rPr>
          <w:rFonts w:ascii="Verdana" w:hAnsi="Verdana" w:cs="Arial"/>
          <w:b/>
          <w:sz w:val="22"/>
          <w:szCs w:val="22"/>
          <w:u w:val="single"/>
        </w:rPr>
        <w:t>18</w:t>
      </w:r>
      <w:r w:rsidRPr="0033025D">
        <w:rPr>
          <w:rFonts w:ascii="Verdana" w:hAnsi="Verdana" w:cs="Arial"/>
          <w:b/>
          <w:sz w:val="22"/>
          <w:szCs w:val="22"/>
          <w:u w:val="single"/>
        </w:rPr>
        <w:t>.000,00 (</w:t>
      </w:r>
      <w:r>
        <w:rPr>
          <w:rFonts w:ascii="Verdana" w:hAnsi="Verdana" w:cs="Arial"/>
          <w:b/>
          <w:sz w:val="22"/>
          <w:szCs w:val="22"/>
          <w:u w:val="single"/>
        </w:rPr>
        <w:t>Dezoito Mil Reais</w:t>
      </w:r>
      <w:r w:rsidRPr="0033025D">
        <w:rPr>
          <w:rFonts w:ascii="Verdana" w:hAnsi="Verdana" w:cs="Arial"/>
          <w:b/>
          <w:sz w:val="22"/>
          <w:szCs w:val="22"/>
          <w:u w:val="single"/>
        </w:rPr>
        <w:t>)</w:t>
      </w:r>
    </w:p>
    <w:p w:rsidR="00B95AE1" w:rsidRDefault="00B95AE1" w:rsidP="00B95AE1">
      <w:pPr>
        <w:pBdr>
          <w:left w:val="single" w:sz="4" w:space="4" w:color="auto"/>
        </w:pBdr>
        <w:spacing w:line="360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B95AE1" w:rsidRPr="004917B2" w:rsidRDefault="00B95AE1" w:rsidP="00B95AE1">
      <w:pPr>
        <w:pBdr>
          <w:left w:val="single" w:sz="4" w:space="4" w:color="auto"/>
        </w:pBdr>
        <w:spacing w:line="360" w:lineRule="auto"/>
        <w:jc w:val="both"/>
        <w:rPr>
          <w:rFonts w:ascii="Verdana" w:hAnsi="Verdana" w:cs="Arial"/>
          <w:b/>
          <w:i/>
          <w:iCs/>
          <w:sz w:val="22"/>
          <w:szCs w:val="22"/>
          <w:u w:val="single"/>
        </w:rPr>
      </w:pPr>
      <w:r w:rsidRPr="004917B2">
        <w:rPr>
          <w:rFonts w:ascii="Verdana" w:hAnsi="Verdana" w:cs="Arial"/>
          <w:b/>
          <w:i/>
          <w:iCs/>
          <w:sz w:val="22"/>
          <w:szCs w:val="22"/>
          <w:u w:val="single"/>
        </w:rPr>
        <w:t>Dotação a ser anulada:</w:t>
      </w:r>
    </w:p>
    <w:p w:rsidR="00B95AE1" w:rsidRPr="0073769D" w:rsidRDefault="00B95AE1" w:rsidP="00B95AE1">
      <w:pPr>
        <w:pBdr>
          <w:left w:val="single" w:sz="4" w:space="4" w:color="auto"/>
        </w:pBd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73769D">
        <w:rPr>
          <w:rFonts w:ascii="Verdana" w:hAnsi="Verdana" w:cs="Arial"/>
          <w:b/>
          <w:sz w:val="22"/>
          <w:szCs w:val="22"/>
        </w:rPr>
        <w:t>03.01.01.17.512.1705.1761.4.4.90.51.1.753</w:t>
      </w:r>
      <w:r>
        <w:rPr>
          <w:rFonts w:ascii="Verdana" w:hAnsi="Verdana" w:cs="Arial"/>
          <w:b/>
          <w:sz w:val="22"/>
          <w:szCs w:val="22"/>
        </w:rPr>
        <w:t>.000.0000</w:t>
      </w:r>
      <w:r w:rsidRPr="0073769D">
        <w:rPr>
          <w:rFonts w:ascii="Verdana" w:hAnsi="Verdana" w:cs="Arial"/>
          <w:b/>
          <w:sz w:val="22"/>
          <w:szCs w:val="22"/>
        </w:rPr>
        <w:t xml:space="preserve"> </w:t>
      </w:r>
      <w:r w:rsidRPr="004917B2">
        <w:rPr>
          <w:rFonts w:ascii="Verdana" w:hAnsi="Verdana" w:cs="Arial"/>
          <w:b/>
          <w:sz w:val="22"/>
          <w:szCs w:val="22"/>
          <w:u w:val="single"/>
        </w:rPr>
        <w:t>R$ 18.000,00</w:t>
      </w:r>
    </w:p>
    <w:p w:rsidR="00B95AE1" w:rsidRDefault="00B95AE1" w:rsidP="00B95AE1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B95AE1" w:rsidRDefault="00B95AE1" w:rsidP="00B95AE1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sz w:val="22"/>
          <w:szCs w:val="22"/>
        </w:rPr>
        <w:t>O</w:t>
      </w:r>
      <w:r w:rsidRPr="00B0069A">
        <w:rPr>
          <w:rFonts w:ascii="Verdana" w:hAnsi="Verdana"/>
          <w:sz w:val="22"/>
          <w:szCs w:val="22"/>
        </w:rPr>
        <w:t xml:space="preserve"> recurso </w:t>
      </w:r>
      <w:r>
        <w:rPr>
          <w:rFonts w:ascii="Verdana" w:hAnsi="Verdana"/>
          <w:sz w:val="22"/>
          <w:szCs w:val="22"/>
        </w:rPr>
        <w:t xml:space="preserve">que correrá por conta </w:t>
      </w:r>
      <w:r w:rsidRPr="00B0069A">
        <w:rPr>
          <w:rFonts w:ascii="Verdana" w:hAnsi="Verdana"/>
          <w:sz w:val="22"/>
          <w:szCs w:val="22"/>
        </w:rPr>
        <w:t xml:space="preserve">do referido crédito </w:t>
      </w:r>
      <w:r>
        <w:rPr>
          <w:rFonts w:ascii="Verdana" w:hAnsi="Verdana"/>
          <w:sz w:val="22"/>
          <w:szCs w:val="22"/>
        </w:rPr>
        <w:t xml:space="preserve">adicional especial, é proveniente de </w:t>
      </w:r>
      <w:r>
        <w:rPr>
          <w:rFonts w:ascii="Verdana" w:hAnsi="Verdana"/>
          <w:b/>
          <w:bCs/>
          <w:sz w:val="22"/>
          <w:szCs w:val="22"/>
        </w:rPr>
        <w:t>Anulação de Dotação</w:t>
      </w:r>
      <w:r w:rsidRPr="0033025D">
        <w:rPr>
          <w:rFonts w:ascii="Verdana" w:hAnsi="Verdana" w:cs="Arial"/>
          <w:bCs/>
          <w:sz w:val="22"/>
          <w:szCs w:val="22"/>
        </w:rPr>
        <w:t>.</w:t>
      </w:r>
    </w:p>
    <w:p w:rsidR="00B95AE1" w:rsidRPr="004E261A" w:rsidRDefault="00B95AE1" w:rsidP="00B95AE1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B95AE1" w:rsidRDefault="00B95AE1" w:rsidP="00B95AE1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 xml:space="preserve">Fica </w:t>
      </w:r>
      <w:r>
        <w:rPr>
          <w:rFonts w:ascii="Verdana" w:hAnsi="Verdana"/>
          <w:sz w:val="22"/>
          <w:szCs w:val="22"/>
        </w:rPr>
        <w:t xml:space="preserve">autorizado a inserção, atualização e compatibilização do planejamento e o orçamento vigentes, com as devidas </w:t>
      </w:r>
      <w:r w:rsidRPr="00091C0D">
        <w:rPr>
          <w:rFonts w:ascii="Verdana" w:hAnsi="Verdana"/>
          <w:sz w:val="22"/>
          <w:szCs w:val="22"/>
        </w:rPr>
        <w:t>inser</w:t>
      </w:r>
      <w:r>
        <w:rPr>
          <w:rFonts w:ascii="Verdana" w:hAnsi="Verdana"/>
          <w:sz w:val="22"/>
          <w:szCs w:val="22"/>
        </w:rPr>
        <w:t xml:space="preserve">ções e atualizações </w:t>
      </w:r>
      <w:r w:rsidRPr="00091C0D">
        <w:rPr>
          <w:rFonts w:ascii="Verdana" w:hAnsi="Verdana"/>
          <w:sz w:val="22"/>
          <w:szCs w:val="22"/>
        </w:rPr>
        <w:lastRenderedPageBreak/>
        <w:t xml:space="preserve">nos anexos do Plano Plurianual </w:t>
      </w:r>
      <w:r>
        <w:rPr>
          <w:rFonts w:ascii="Verdana" w:hAnsi="Verdana"/>
          <w:sz w:val="22"/>
          <w:szCs w:val="22"/>
        </w:rPr>
        <w:t xml:space="preserve">e na Lei de Diretrizes Orçamentária, promovendo a compatibilização das alterações e atualizações legais a </w:t>
      </w:r>
      <w:r w:rsidRPr="00091C0D">
        <w:rPr>
          <w:rFonts w:ascii="Verdana" w:hAnsi="Verdana"/>
          <w:sz w:val="22"/>
          <w:szCs w:val="22"/>
        </w:rPr>
        <w:t>partir de sua autorização</w:t>
      </w:r>
      <w:r>
        <w:rPr>
          <w:rFonts w:ascii="Verdana" w:hAnsi="Verdana"/>
          <w:sz w:val="22"/>
          <w:szCs w:val="22"/>
        </w:rPr>
        <w:t>.</w:t>
      </w:r>
    </w:p>
    <w:p w:rsidR="00B95AE1" w:rsidRPr="004E261A" w:rsidRDefault="00B95AE1" w:rsidP="00B95AE1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B95AE1" w:rsidRDefault="00B95AE1" w:rsidP="00B95AE1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4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:rsidR="00B95AE1" w:rsidRPr="004E261A" w:rsidRDefault="00B95AE1" w:rsidP="00B95AE1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:rsidR="00B95AE1" w:rsidRDefault="00B95AE1" w:rsidP="00B95AE1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B95AE1" w:rsidRDefault="00B95AE1" w:rsidP="00B95AE1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 w:rsidRPr="00B95AE1">
        <w:rPr>
          <w:rFonts w:ascii="Verdana" w:hAnsi="Verdana"/>
          <w:sz w:val="22"/>
          <w:szCs w:val="22"/>
          <w:highlight w:val="yellow"/>
        </w:rPr>
        <w:t>15</w:t>
      </w:r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fevereiro</w:t>
      </w:r>
      <w:r>
        <w:rPr>
          <w:rFonts w:ascii="Verdana" w:hAnsi="Verdana"/>
          <w:sz w:val="22"/>
          <w:szCs w:val="22"/>
        </w:rPr>
        <w:t xml:space="preserve">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2023</w:t>
      </w:r>
      <w:r w:rsidRPr="004E261A">
        <w:rPr>
          <w:rFonts w:ascii="Verdana" w:hAnsi="Verdana"/>
          <w:sz w:val="22"/>
          <w:szCs w:val="22"/>
        </w:rPr>
        <w:t>.</w:t>
      </w:r>
    </w:p>
    <w:p w:rsidR="00B95AE1" w:rsidRDefault="00B95AE1" w:rsidP="00B95AE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B95AE1" w:rsidRDefault="00B95AE1" w:rsidP="00B95AE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B95AE1" w:rsidRPr="00951903" w:rsidRDefault="00B95AE1" w:rsidP="00B95AE1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:rsidR="00B95AE1" w:rsidRPr="004E261A" w:rsidRDefault="00B95AE1" w:rsidP="00B95AE1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:rsidR="00B95AE1" w:rsidRDefault="00B95AE1" w:rsidP="00B95AE1"/>
    <w:p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F575E4">
      <w:rPr>
        <w:b/>
        <w:noProof/>
        <w:color w:val="00330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2EFEC56" wp14:editId="494A4801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E4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FEC56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F575E4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B92103" wp14:editId="763447FA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6561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E1"/>
    <w:rsid w:val="00013EB3"/>
    <w:rsid w:val="00B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B389"/>
  <w15:chartTrackingRefBased/>
  <w15:docId w15:val="{576F0772-2DB0-40DF-B048-29FD77B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95AE1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5AE1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5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A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95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5A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B95AE1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B95AE1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95A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uiPriority w:val="99"/>
    <w:unhideWhenUsed/>
    <w:rsid w:val="00B9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2023-02-07T17:04:00Z</dcterms:created>
  <dcterms:modified xsi:type="dcterms:W3CDTF">2023-02-07T17:06:00Z</dcterms:modified>
</cp:coreProperties>
</file>